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EB" w:rsidRPr="00275B7E" w:rsidRDefault="00AB06EB" w:rsidP="00AB06EB">
      <w:pPr>
        <w:jc w:val="center"/>
        <w:rPr>
          <w:sz w:val="28"/>
          <w:szCs w:val="28"/>
        </w:rPr>
      </w:pPr>
      <w:r w:rsidRPr="00275B7E">
        <w:rPr>
          <w:noProof/>
          <w:sz w:val="28"/>
          <w:szCs w:val="28"/>
        </w:rPr>
        <w:drawing>
          <wp:inline distT="0" distB="0" distL="0" distR="0" wp14:anchorId="2B77F053" wp14:editId="334B6024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EB" w:rsidRPr="00275B7E" w:rsidRDefault="00AB06EB" w:rsidP="00AB06EB">
      <w:pPr>
        <w:jc w:val="center"/>
        <w:rPr>
          <w:sz w:val="28"/>
          <w:szCs w:val="28"/>
        </w:rPr>
      </w:pPr>
      <w:r w:rsidRPr="00275B7E">
        <w:rPr>
          <w:sz w:val="28"/>
          <w:szCs w:val="28"/>
        </w:rPr>
        <w:t>Российская Федерация</w:t>
      </w:r>
    </w:p>
    <w:p w:rsidR="00AB06EB" w:rsidRPr="00275B7E" w:rsidRDefault="00AB06EB" w:rsidP="00AB06EB">
      <w:pPr>
        <w:jc w:val="center"/>
        <w:rPr>
          <w:sz w:val="28"/>
          <w:szCs w:val="28"/>
        </w:rPr>
      </w:pPr>
      <w:r w:rsidRPr="00275B7E">
        <w:rPr>
          <w:sz w:val="28"/>
          <w:szCs w:val="28"/>
        </w:rPr>
        <w:t>Свердловская область</w:t>
      </w:r>
    </w:p>
    <w:p w:rsidR="00AB06EB" w:rsidRPr="00275B7E" w:rsidRDefault="00AB06EB" w:rsidP="00AB06EB">
      <w:pPr>
        <w:jc w:val="center"/>
        <w:rPr>
          <w:b/>
          <w:sz w:val="28"/>
          <w:szCs w:val="28"/>
        </w:rPr>
      </w:pPr>
      <w:r w:rsidRPr="00275B7E">
        <w:rPr>
          <w:b/>
          <w:sz w:val="28"/>
          <w:szCs w:val="28"/>
        </w:rPr>
        <w:t>Глава муниципального образования</w:t>
      </w:r>
    </w:p>
    <w:p w:rsidR="00AB06EB" w:rsidRPr="00275B7E" w:rsidRDefault="00AB06EB" w:rsidP="00AB06EB">
      <w:pPr>
        <w:jc w:val="center"/>
        <w:rPr>
          <w:b/>
          <w:sz w:val="28"/>
          <w:szCs w:val="28"/>
        </w:rPr>
      </w:pPr>
      <w:proofErr w:type="spellStart"/>
      <w:r w:rsidRPr="00275B7E">
        <w:rPr>
          <w:b/>
          <w:sz w:val="28"/>
          <w:szCs w:val="28"/>
        </w:rPr>
        <w:t>Баженовское</w:t>
      </w:r>
      <w:proofErr w:type="spellEnd"/>
      <w:r w:rsidRPr="00275B7E">
        <w:rPr>
          <w:b/>
          <w:sz w:val="28"/>
          <w:szCs w:val="28"/>
        </w:rPr>
        <w:t xml:space="preserve"> сельское поселение</w:t>
      </w:r>
    </w:p>
    <w:p w:rsidR="00AB06EB" w:rsidRPr="00275B7E" w:rsidRDefault="00AB06EB" w:rsidP="00AB06EB">
      <w:pPr>
        <w:jc w:val="center"/>
        <w:rPr>
          <w:b/>
          <w:sz w:val="28"/>
          <w:szCs w:val="28"/>
        </w:rPr>
      </w:pPr>
      <w:proofErr w:type="spellStart"/>
      <w:r w:rsidRPr="00275B7E">
        <w:rPr>
          <w:b/>
          <w:sz w:val="28"/>
          <w:szCs w:val="28"/>
        </w:rPr>
        <w:t>Байкаловского</w:t>
      </w:r>
      <w:proofErr w:type="spellEnd"/>
      <w:r w:rsidRPr="00275B7E">
        <w:rPr>
          <w:b/>
          <w:sz w:val="28"/>
          <w:szCs w:val="28"/>
        </w:rPr>
        <w:t xml:space="preserve"> муниципального района </w:t>
      </w:r>
    </w:p>
    <w:p w:rsidR="00AB06EB" w:rsidRPr="00275B7E" w:rsidRDefault="00AB06EB" w:rsidP="00AB06EB">
      <w:pPr>
        <w:jc w:val="center"/>
        <w:rPr>
          <w:b/>
          <w:sz w:val="28"/>
          <w:szCs w:val="28"/>
        </w:rPr>
      </w:pPr>
      <w:r w:rsidRPr="00275B7E">
        <w:rPr>
          <w:b/>
          <w:sz w:val="28"/>
          <w:szCs w:val="28"/>
        </w:rPr>
        <w:t>Свердловской области</w:t>
      </w:r>
    </w:p>
    <w:p w:rsidR="00AB06EB" w:rsidRPr="00275B7E" w:rsidRDefault="00AB06EB" w:rsidP="00AB06EB">
      <w:pPr>
        <w:jc w:val="center"/>
        <w:rPr>
          <w:b/>
          <w:sz w:val="28"/>
          <w:szCs w:val="28"/>
        </w:rPr>
      </w:pPr>
    </w:p>
    <w:p w:rsidR="00AB06EB" w:rsidRPr="00275B7E" w:rsidRDefault="00AB06EB" w:rsidP="00AB06EB">
      <w:pPr>
        <w:jc w:val="center"/>
        <w:rPr>
          <w:b/>
          <w:sz w:val="28"/>
          <w:szCs w:val="28"/>
        </w:rPr>
      </w:pPr>
      <w:r w:rsidRPr="00275B7E">
        <w:rPr>
          <w:b/>
          <w:sz w:val="28"/>
          <w:szCs w:val="28"/>
        </w:rPr>
        <w:t>ПОСТАНОВЛЕНИЕ</w:t>
      </w:r>
    </w:p>
    <w:p w:rsidR="00AB06EB" w:rsidRPr="00275B7E" w:rsidRDefault="00AB06EB" w:rsidP="00AB06EB">
      <w:pPr>
        <w:rPr>
          <w:sz w:val="28"/>
          <w:szCs w:val="28"/>
        </w:rPr>
      </w:pPr>
    </w:p>
    <w:p w:rsidR="00AB06EB" w:rsidRPr="00275B7E" w:rsidRDefault="00AB06EB" w:rsidP="00AB06EB">
      <w:pPr>
        <w:rPr>
          <w:sz w:val="28"/>
          <w:szCs w:val="28"/>
        </w:rPr>
      </w:pPr>
      <w:r w:rsidRPr="00275B7E">
        <w:rPr>
          <w:sz w:val="28"/>
          <w:szCs w:val="28"/>
        </w:rPr>
        <w:t xml:space="preserve">от </w:t>
      </w:r>
      <w:r w:rsidR="00477386">
        <w:rPr>
          <w:sz w:val="28"/>
          <w:szCs w:val="28"/>
        </w:rPr>
        <w:t>06</w:t>
      </w:r>
      <w:r w:rsidRPr="00275B7E">
        <w:rPr>
          <w:sz w:val="28"/>
          <w:szCs w:val="28"/>
        </w:rPr>
        <w:t>.</w:t>
      </w:r>
      <w:r w:rsidR="00477386">
        <w:rPr>
          <w:sz w:val="28"/>
          <w:szCs w:val="28"/>
        </w:rPr>
        <w:t>12</w:t>
      </w:r>
      <w:r w:rsidRPr="00275B7E">
        <w:rPr>
          <w:sz w:val="28"/>
          <w:szCs w:val="28"/>
        </w:rPr>
        <w:t>.202</w:t>
      </w:r>
      <w:r w:rsidR="00302705">
        <w:rPr>
          <w:sz w:val="28"/>
          <w:szCs w:val="28"/>
        </w:rPr>
        <w:t>4</w:t>
      </w:r>
      <w:r w:rsidRPr="00275B7E">
        <w:rPr>
          <w:sz w:val="28"/>
          <w:szCs w:val="28"/>
        </w:rPr>
        <w:t xml:space="preserve"> г</w:t>
      </w:r>
      <w:r w:rsidR="00275B7E">
        <w:rPr>
          <w:sz w:val="28"/>
          <w:szCs w:val="28"/>
        </w:rPr>
        <w:t xml:space="preserve">.                             </w:t>
      </w:r>
      <w:r w:rsidR="00467228">
        <w:rPr>
          <w:sz w:val="28"/>
          <w:szCs w:val="28"/>
        </w:rPr>
        <w:t xml:space="preserve">  </w:t>
      </w:r>
      <w:r w:rsidR="00302705">
        <w:rPr>
          <w:sz w:val="28"/>
          <w:szCs w:val="28"/>
        </w:rPr>
        <w:t xml:space="preserve"> </w:t>
      </w:r>
      <w:r w:rsidR="00477386">
        <w:rPr>
          <w:sz w:val="28"/>
          <w:szCs w:val="28"/>
        </w:rPr>
        <w:t xml:space="preserve">  </w:t>
      </w:r>
      <w:r w:rsidR="00302705">
        <w:rPr>
          <w:sz w:val="28"/>
          <w:szCs w:val="28"/>
        </w:rPr>
        <w:t xml:space="preserve"> </w:t>
      </w:r>
      <w:r w:rsidR="000A6E37">
        <w:rPr>
          <w:sz w:val="28"/>
          <w:szCs w:val="28"/>
        </w:rPr>
        <w:t xml:space="preserve"> </w:t>
      </w:r>
      <w:r w:rsidRPr="00275B7E">
        <w:rPr>
          <w:sz w:val="28"/>
          <w:szCs w:val="28"/>
        </w:rPr>
        <w:t>№</w:t>
      </w:r>
      <w:r w:rsidR="00477386">
        <w:rPr>
          <w:sz w:val="28"/>
          <w:szCs w:val="28"/>
        </w:rPr>
        <w:t xml:space="preserve"> 154</w:t>
      </w:r>
      <w:r w:rsidRPr="00275B7E">
        <w:rPr>
          <w:sz w:val="28"/>
          <w:szCs w:val="28"/>
        </w:rPr>
        <w:t xml:space="preserve"> </w:t>
      </w:r>
      <w:r w:rsidR="000A6E37">
        <w:rPr>
          <w:sz w:val="28"/>
          <w:szCs w:val="28"/>
        </w:rPr>
        <w:t xml:space="preserve">                      </w:t>
      </w:r>
      <w:r w:rsidRPr="00275B7E">
        <w:rPr>
          <w:sz w:val="28"/>
          <w:szCs w:val="28"/>
        </w:rPr>
        <w:t xml:space="preserve"> </w:t>
      </w:r>
      <w:r w:rsidR="00275B7E" w:rsidRPr="00275B7E">
        <w:rPr>
          <w:sz w:val="28"/>
          <w:szCs w:val="28"/>
        </w:rPr>
        <w:t xml:space="preserve">    </w:t>
      </w:r>
      <w:r w:rsidR="003A54D9">
        <w:rPr>
          <w:sz w:val="28"/>
          <w:szCs w:val="28"/>
        </w:rPr>
        <w:t xml:space="preserve">  </w:t>
      </w:r>
      <w:r w:rsidR="00275B7E" w:rsidRPr="00275B7E">
        <w:rPr>
          <w:sz w:val="28"/>
          <w:szCs w:val="28"/>
        </w:rPr>
        <w:t xml:space="preserve"> </w:t>
      </w:r>
      <w:r w:rsidR="00477386">
        <w:rPr>
          <w:sz w:val="28"/>
          <w:szCs w:val="28"/>
        </w:rPr>
        <w:t xml:space="preserve">  </w:t>
      </w:r>
      <w:r w:rsidR="00275B7E" w:rsidRPr="00275B7E">
        <w:rPr>
          <w:sz w:val="28"/>
          <w:szCs w:val="28"/>
        </w:rPr>
        <w:t xml:space="preserve">   </w:t>
      </w:r>
      <w:r w:rsidRPr="00275B7E">
        <w:rPr>
          <w:sz w:val="28"/>
          <w:szCs w:val="28"/>
        </w:rPr>
        <w:t xml:space="preserve">  </w:t>
      </w:r>
      <w:proofErr w:type="spellStart"/>
      <w:r w:rsidRPr="00275B7E">
        <w:rPr>
          <w:sz w:val="28"/>
          <w:szCs w:val="28"/>
        </w:rPr>
        <w:t>с</w:t>
      </w:r>
      <w:proofErr w:type="gramStart"/>
      <w:r w:rsidRPr="00275B7E">
        <w:rPr>
          <w:sz w:val="28"/>
          <w:szCs w:val="28"/>
        </w:rPr>
        <w:t>.Б</w:t>
      </w:r>
      <w:proofErr w:type="gramEnd"/>
      <w:r w:rsidRPr="00275B7E">
        <w:rPr>
          <w:sz w:val="28"/>
          <w:szCs w:val="28"/>
        </w:rPr>
        <w:t>аженовское</w:t>
      </w:r>
      <w:proofErr w:type="spellEnd"/>
      <w:r w:rsidRPr="00275B7E">
        <w:rPr>
          <w:sz w:val="28"/>
          <w:szCs w:val="28"/>
        </w:rPr>
        <w:t xml:space="preserve">                                            </w:t>
      </w:r>
    </w:p>
    <w:p w:rsidR="00AB06EB" w:rsidRPr="00275B7E" w:rsidRDefault="00AB06EB" w:rsidP="00AB06EB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proofErr w:type="gramStart"/>
      <w:r w:rsidRPr="00275B7E">
        <w:rPr>
          <w:b/>
          <w:bCs/>
          <w:kern w:val="36"/>
          <w:sz w:val="28"/>
          <w:szCs w:val="28"/>
        </w:rPr>
        <w:t xml:space="preserve">О внесении изменений в Порядок определения объема и условий предоставления субсидий из бюджета муниципального образования </w:t>
      </w:r>
      <w:proofErr w:type="spellStart"/>
      <w:r w:rsidRPr="00275B7E">
        <w:rPr>
          <w:b/>
          <w:bCs/>
          <w:kern w:val="36"/>
          <w:sz w:val="28"/>
          <w:szCs w:val="28"/>
        </w:rPr>
        <w:t>Баженовское</w:t>
      </w:r>
      <w:proofErr w:type="spellEnd"/>
      <w:r w:rsidRPr="00275B7E">
        <w:rPr>
          <w:b/>
          <w:bCs/>
          <w:kern w:val="36"/>
          <w:sz w:val="28"/>
          <w:szCs w:val="28"/>
        </w:rPr>
        <w:t xml:space="preserve"> сельское поселение муниципальным бюджетным учреждениям </w:t>
      </w:r>
      <w:r w:rsidRPr="00275B7E">
        <w:rPr>
          <w:b/>
          <w:sz w:val="28"/>
          <w:szCs w:val="28"/>
        </w:rPr>
        <w:t xml:space="preserve">на иные цели, утвержденный Постановлением Главы муниципального образования </w:t>
      </w:r>
      <w:proofErr w:type="spellStart"/>
      <w:r w:rsidRPr="00275B7E">
        <w:rPr>
          <w:b/>
          <w:sz w:val="28"/>
          <w:szCs w:val="28"/>
        </w:rPr>
        <w:t>Баженовское</w:t>
      </w:r>
      <w:proofErr w:type="spellEnd"/>
      <w:r w:rsidRPr="00275B7E">
        <w:rPr>
          <w:b/>
          <w:sz w:val="28"/>
          <w:szCs w:val="28"/>
        </w:rPr>
        <w:t xml:space="preserve"> сельское поселение от 28.04.2021 № 69 с изменениями от 29.12.2021 № 209, от 09.08.2022 № 103,  от 17.10.2022 № 139, от 27.12.2022 № 191, от 16.03.2023 № 32</w:t>
      </w:r>
      <w:r w:rsidR="00A45E12" w:rsidRPr="00275B7E">
        <w:rPr>
          <w:b/>
          <w:sz w:val="28"/>
          <w:szCs w:val="28"/>
        </w:rPr>
        <w:t>,</w:t>
      </w:r>
      <w:r w:rsidRPr="00275B7E">
        <w:rPr>
          <w:b/>
          <w:sz w:val="28"/>
          <w:szCs w:val="28"/>
        </w:rPr>
        <w:t xml:space="preserve"> </w:t>
      </w:r>
      <w:r w:rsidR="00A45E12" w:rsidRPr="00275B7E">
        <w:rPr>
          <w:b/>
          <w:sz w:val="28"/>
          <w:szCs w:val="28"/>
        </w:rPr>
        <w:t>от 13.09.2023 № 116</w:t>
      </w:r>
      <w:r w:rsidR="00A360DB" w:rsidRPr="00275B7E">
        <w:rPr>
          <w:b/>
          <w:sz w:val="28"/>
          <w:szCs w:val="28"/>
        </w:rPr>
        <w:t>, от 07.12.2023 № 196</w:t>
      </w:r>
      <w:r w:rsidR="00302705">
        <w:rPr>
          <w:b/>
          <w:sz w:val="28"/>
          <w:szCs w:val="28"/>
        </w:rPr>
        <w:t>, от 27.12.2023</w:t>
      </w:r>
      <w:proofErr w:type="gramEnd"/>
      <w:r w:rsidR="00302705">
        <w:rPr>
          <w:b/>
          <w:sz w:val="28"/>
          <w:szCs w:val="28"/>
        </w:rPr>
        <w:t xml:space="preserve"> № 215</w:t>
      </w:r>
      <w:r w:rsidR="001B4171">
        <w:rPr>
          <w:b/>
          <w:sz w:val="28"/>
          <w:szCs w:val="28"/>
        </w:rPr>
        <w:t>, от 14.03.2024 № 43</w:t>
      </w:r>
      <w:r w:rsidR="00477386">
        <w:rPr>
          <w:b/>
          <w:sz w:val="28"/>
          <w:szCs w:val="28"/>
        </w:rPr>
        <w:t>, от 23.07.2024 № 100</w:t>
      </w:r>
    </w:p>
    <w:p w:rsidR="00AB06EB" w:rsidRPr="00275B7E" w:rsidRDefault="00AB06EB" w:rsidP="00AB06EB">
      <w:pPr>
        <w:spacing w:before="100" w:beforeAutospacing="1" w:after="100" w:afterAutospacing="1"/>
        <w:ind w:firstLine="567"/>
        <w:jc w:val="both"/>
        <w:outlineLvl w:val="0"/>
        <w:rPr>
          <w:sz w:val="28"/>
          <w:szCs w:val="28"/>
        </w:rPr>
      </w:pPr>
      <w:proofErr w:type="gramStart"/>
      <w:r w:rsidRPr="00275B7E">
        <w:rPr>
          <w:sz w:val="28"/>
          <w:szCs w:val="28"/>
        </w:rPr>
        <w:t xml:space="preserve">В соответствии со </w:t>
      </w:r>
      <w:hyperlink r:id="rId7" w:history="1">
        <w:r w:rsidRPr="00275B7E">
          <w:rPr>
            <w:rStyle w:val="a3"/>
            <w:color w:val="auto"/>
            <w:sz w:val="28"/>
            <w:szCs w:val="28"/>
            <w:u w:val="none"/>
          </w:rPr>
          <w:t>статьей 78.1</w:t>
        </w:r>
      </w:hyperlink>
      <w:r w:rsidRPr="00275B7E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275B7E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275B7E">
        <w:rPr>
          <w:sz w:val="28"/>
          <w:szCs w:val="28"/>
        </w:rPr>
        <w:t xml:space="preserve">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субсидии на иные цели»,</w:t>
      </w:r>
      <w:r w:rsidR="001B4171">
        <w:rPr>
          <w:sz w:val="28"/>
          <w:szCs w:val="28"/>
        </w:rPr>
        <w:t xml:space="preserve"> </w:t>
      </w:r>
      <w:r w:rsidR="000A6E37">
        <w:rPr>
          <w:sz w:val="28"/>
          <w:szCs w:val="28"/>
        </w:rPr>
        <w:t xml:space="preserve"> </w:t>
      </w:r>
      <w:r w:rsidR="001B4171">
        <w:rPr>
          <w:sz w:val="28"/>
          <w:szCs w:val="28"/>
        </w:rPr>
        <w:t>Распоряжением Правительства Свердловской области от 19.07.2024 № 405-РП «О выделении средств из резервного фонда Правительства Свердловской области для предоставления</w:t>
      </w:r>
      <w:proofErr w:type="gramEnd"/>
      <w:r w:rsidR="001B4171">
        <w:rPr>
          <w:sz w:val="28"/>
          <w:szCs w:val="28"/>
        </w:rPr>
        <w:t xml:space="preserve"> иного межбюджетного трансферта бюджету муниципального образования </w:t>
      </w:r>
      <w:proofErr w:type="spellStart"/>
      <w:r w:rsidR="001B4171">
        <w:rPr>
          <w:sz w:val="28"/>
          <w:szCs w:val="28"/>
        </w:rPr>
        <w:t>Баженовское</w:t>
      </w:r>
      <w:proofErr w:type="spellEnd"/>
      <w:r w:rsidR="001B4171">
        <w:rPr>
          <w:sz w:val="28"/>
          <w:szCs w:val="28"/>
        </w:rPr>
        <w:t xml:space="preserve"> сельское поселение </w:t>
      </w:r>
      <w:proofErr w:type="spellStart"/>
      <w:r w:rsidR="001B4171">
        <w:rPr>
          <w:sz w:val="28"/>
          <w:szCs w:val="28"/>
        </w:rPr>
        <w:t>Байкаловского</w:t>
      </w:r>
      <w:proofErr w:type="spellEnd"/>
      <w:r w:rsidR="001B4171">
        <w:rPr>
          <w:sz w:val="28"/>
          <w:szCs w:val="28"/>
        </w:rPr>
        <w:t xml:space="preserve"> муниципального района Свердловской области»,</w:t>
      </w:r>
      <w:r w:rsidRPr="00275B7E">
        <w:rPr>
          <w:sz w:val="28"/>
          <w:szCs w:val="28"/>
        </w:rPr>
        <w:t xml:space="preserve"> Приказом Финансового управления администрации муниципального образования </w:t>
      </w:r>
      <w:proofErr w:type="spellStart"/>
      <w:r w:rsidRPr="00275B7E">
        <w:rPr>
          <w:sz w:val="28"/>
          <w:szCs w:val="28"/>
        </w:rPr>
        <w:t>Байкаловский</w:t>
      </w:r>
      <w:proofErr w:type="spellEnd"/>
      <w:r w:rsidRPr="00275B7E">
        <w:rPr>
          <w:sz w:val="28"/>
          <w:szCs w:val="28"/>
        </w:rPr>
        <w:t xml:space="preserve"> муниципальный район от 10.02.2021 № 28 «Об утверждении Типовой формы соглашения о предоставлении из местного бюджета бюджетному или автономному учреждению субсидий на иные цели»</w:t>
      </w:r>
      <w:r w:rsidR="001B4171">
        <w:rPr>
          <w:sz w:val="28"/>
          <w:szCs w:val="28"/>
        </w:rPr>
        <w:t xml:space="preserve">, </w:t>
      </w:r>
      <w:r w:rsidRPr="00275B7E">
        <w:rPr>
          <w:sz w:val="28"/>
          <w:szCs w:val="28"/>
        </w:rPr>
        <w:t xml:space="preserve"> </w:t>
      </w:r>
    </w:p>
    <w:p w:rsidR="00AB06EB" w:rsidRPr="00275B7E" w:rsidRDefault="00AB06EB" w:rsidP="00AB06EB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275B7E">
        <w:rPr>
          <w:b/>
          <w:sz w:val="28"/>
          <w:szCs w:val="28"/>
        </w:rPr>
        <w:t>ПОСТАНОВЛЯЮ:</w:t>
      </w:r>
    </w:p>
    <w:p w:rsidR="00AB06EB" w:rsidRPr="00275B7E" w:rsidRDefault="00AB06EB" w:rsidP="00AB06EB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AB06EB" w:rsidRPr="00275B7E" w:rsidRDefault="00AB06EB" w:rsidP="00571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B7E">
        <w:rPr>
          <w:rFonts w:ascii="Times New Roman" w:hAnsi="Times New Roman" w:cs="Times New Roman"/>
          <w:sz w:val="28"/>
          <w:szCs w:val="28"/>
        </w:rPr>
        <w:t xml:space="preserve">1.Внести в Порядок определения объема и условий предоставления субсидий из бюджета муниципального образования </w:t>
      </w:r>
      <w:proofErr w:type="spellStart"/>
      <w:r w:rsidRPr="00275B7E">
        <w:rPr>
          <w:rFonts w:ascii="Times New Roman" w:hAnsi="Times New Roman" w:cs="Times New Roman"/>
          <w:sz w:val="28"/>
          <w:szCs w:val="28"/>
        </w:rPr>
        <w:t>Баженовское</w:t>
      </w:r>
      <w:proofErr w:type="spellEnd"/>
      <w:r w:rsidRPr="00275B7E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муниципальным бюджетным учреждениям на иные цели, утвержденный Постановлением Главы муниципального образования </w:t>
      </w:r>
      <w:proofErr w:type="spellStart"/>
      <w:r w:rsidRPr="00275B7E">
        <w:rPr>
          <w:rFonts w:ascii="Times New Roman" w:hAnsi="Times New Roman" w:cs="Times New Roman"/>
          <w:sz w:val="28"/>
          <w:szCs w:val="28"/>
        </w:rPr>
        <w:t>Баженовское</w:t>
      </w:r>
      <w:proofErr w:type="spellEnd"/>
      <w:r w:rsidRPr="00275B7E">
        <w:rPr>
          <w:rFonts w:ascii="Times New Roman" w:hAnsi="Times New Roman" w:cs="Times New Roman"/>
          <w:sz w:val="28"/>
          <w:szCs w:val="28"/>
        </w:rPr>
        <w:t xml:space="preserve"> сельское поселение от 28.04.2021 № 69</w:t>
      </w:r>
      <w:r w:rsidR="0057127D" w:rsidRPr="00275B7E">
        <w:rPr>
          <w:rFonts w:ascii="Times New Roman" w:hAnsi="Times New Roman" w:cs="Times New Roman"/>
          <w:sz w:val="28"/>
          <w:szCs w:val="28"/>
        </w:rPr>
        <w:t xml:space="preserve"> (с</w:t>
      </w:r>
      <w:r w:rsidRPr="00275B7E">
        <w:rPr>
          <w:rFonts w:ascii="Times New Roman" w:hAnsi="Times New Roman" w:cs="Times New Roman"/>
          <w:sz w:val="28"/>
          <w:szCs w:val="28"/>
        </w:rPr>
        <w:t xml:space="preserve"> изменениями от 29.12.2021 № 209, от 09.08.2022 № 103, от 17.10.2022 № 139, от 27.12.2022 № </w:t>
      </w:r>
      <w:r w:rsidRPr="00275B7E">
        <w:rPr>
          <w:rFonts w:ascii="Times New Roman" w:hAnsi="Times New Roman" w:cs="Times New Roman"/>
          <w:sz w:val="28"/>
          <w:szCs w:val="28"/>
        </w:rPr>
        <w:lastRenderedPageBreak/>
        <w:t>191, от 16.03.2023 № 32</w:t>
      </w:r>
      <w:r w:rsidR="00A45E12" w:rsidRPr="00275B7E">
        <w:rPr>
          <w:rFonts w:ascii="Times New Roman" w:hAnsi="Times New Roman" w:cs="Times New Roman"/>
          <w:sz w:val="28"/>
          <w:szCs w:val="28"/>
        </w:rPr>
        <w:t>, от 13.09.2023 № 116</w:t>
      </w:r>
      <w:r w:rsidR="00A360DB" w:rsidRPr="00275B7E">
        <w:rPr>
          <w:rFonts w:ascii="Times New Roman" w:hAnsi="Times New Roman" w:cs="Times New Roman"/>
          <w:sz w:val="28"/>
          <w:szCs w:val="28"/>
        </w:rPr>
        <w:t xml:space="preserve"> от 07.12.2023 № 196</w:t>
      </w:r>
      <w:r w:rsidR="00302705">
        <w:rPr>
          <w:rFonts w:ascii="Times New Roman" w:hAnsi="Times New Roman" w:cs="Times New Roman"/>
          <w:sz w:val="28"/>
          <w:szCs w:val="28"/>
        </w:rPr>
        <w:t>, от 27.12.2023 № 215</w:t>
      </w:r>
      <w:proofErr w:type="gramEnd"/>
      <w:r w:rsidR="001B4171">
        <w:rPr>
          <w:rFonts w:ascii="Times New Roman" w:hAnsi="Times New Roman" w:cs="Times New Roman"/>
          <w:sz w:val="28"/>
          <w:szCs w:val="28"/>
        </w:rPr>
        <w:t xml:space="preserve"> от 14.03.2024 № 43</w:t>
      </w:r>
      <w:r w:rsidR="00477386">
        <w:rPr>
          <w:rFonts w:ascii="Times New Roman" w:hAnsi="Times New Roman" w:cs="Times New Roman"/>
          <w:sz w:val="28"/>
          <w:szCs w:val="28"/>
        </w:rPr>
        <w:t>, от 23.07.2024 № 100</w:t>
      </w:r>
      <w:r w:rsidR="0057127D" w:rsidRPr="00275B7E">
        <w:rPr>
          <w:rFonts w:ascii="Times New Roman" w:hAnsi="Times New Roman" w:cs="Times New Roman"/>
          <w:sz w:val="28"/>
          <w:szCs w:val="28"/>
        </w:rPr>
        <w:t>)</w:t>
      </w:r>
      <w:r w:rsidRPr="00275B7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75B7E" w:rsidRDefault="00275B7E" w:rsidP="001B4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B7E">
        <w:rPr>
          <w:rFonts w:ascii="Times New Roman" w:hAnsi="Times New Roman" w:cs="Times New Roman"/>
          <w:sz w:val="28"/>
          <w:szCs w:val="28"/>
        </w:rPr>
        <w:t xml:space="preserve">1.1.Приложение № 1 к Порядку определения объема и условий предоставления субсидий из бюджета муниципального образования </w:t>
      </w:r>
      <w:proofErr w:type="spellStart"/>
      <w:r w:rsidRPr="00275B7E">
        <w:rPr>
          <w:rFonts w:ascii="Times New Roman" w:hAnsi="Times New Roman" w:cs="Times New Roman"/>
          <w:sz w:val="28"/>
          <w:szCs w:val="28"/>
        </w:rPr>
        <w:t>Баженовское</w:t>
      </w:r>
      <w:proofErr w:type="spellEnd"/>
      <w:r w:rsidRPr="00275B7E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муниципальным бюджетным учреждениям на иные цели изложить в новой редакции (прилагается).</w:t>
      </w:r>
    </w:p>
    <w:p w:rsidR="00AB06EB" w:rsidRPr="00275B7E" w:rsidRDefault="00AB06EB" w:rsidP="00AB0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B7E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подписания.</w:t>
      </w:r>
    </w:p>
    <w:p w:rsidR="00AB06EB" w:rsidRPr="00275B7E" w:rsidRDefault="00AB06EB" w:rsidP="00AB0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B7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75B7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Pr="00275B7E">
        <w:rPr>
          <w:rFonts w:ascii="Times New Roman" w:hAnsi="Times New Roman" w:cs="Times New Roman"/>
          <w:sz w:val="28"/>
          <w:szCs w:val="28"/>
          <w:lang w:eastAsia="ru-RU"/>
        </w:rPr>
        <w:t>Баженовское</w:t>
      </w:r>
      <w:proofErr w:type="spellEnd"/>
      <w:r w:rsidRPr="00275B7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в сети «Интернет» </w:t>
      </w:r>
      <w:hyperlink r:id="rId9" w:history="1">
        <w:r w:rsidRPr="00275B7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http://bajenovskoe.ru</w:t>
        </w:r>
      </w:hyperlink>
      <w:r w:rsidRPr="00275B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06EB" w:rsidRPr="00275B7E" w:rsidRDefault="00AB06EB" w:rsidP="00AB0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B7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75B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B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06EB" w:rsidRPr="00275B7E" w:rsidRDefault="00AB06EB" w:rsidP="00AB06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06EB" w:rsidRPr="00275B7E" w:rsidRDefault="00AB06EB" w:rsidP="0057127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57127D" w:rsidRPr="00275B7E" w:rsidRDefault="0057127D" w:rsidP="0057127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57127D" w:rsidRPr="00275B7E" w:rsidRDefault="0057127D" w:rsidP="0057127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57127D" w:rsidRPr="00275B7E" w:rsidRDefault="0057127D" w:rsidP="0057127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57127D" w:rsidRPr="00275B7E" w:rsidRDefault="0057127D" w:rsidP="0057127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AB06EB" w:rsidRPr="00275B7E" w:rsidRDefault="00AB06EB" w:rsidP="00AB06EB">
      <w:pPr>
        <w:jc w:val="both"/>
        <w:rPr>
          <w:sz w:val="28"/>
          <w:szCs w:val="28"/>
        </w:rPr>
      </w:pPr>
      <w:r w:rsidRPr="00275B7E">
        <w:rPr>
          <w:sz w:val="28"/>
          <w:szCs w:val="28"/>
        </w:rPr>
        <w:t>Глава муниципального образования</w:t>
      </w:r>
    </w:p>
    <w:p w:rsidR="00AB06EB" w:rsidRPr="00275B7E" w:rsidRDefault="00AB06EB" w:rsidP="00AB06EB">
      <w:pPr>
        <w:jc w:val="both"/>
        <w:rPr>
          <w:sz w:val="28"/>
          <w:szCs w:val="28"/>
        </w:rPr>
      </w:pPr>
      <w:proofErr w:type="spellStart"/>
      <w:r w:rsidRPr="00275B7E">
        <w:rPr>
          <w:sz w:val="28"/>
          <w:szCs w:val="28"/>
        </w:rPr>
        <w:t>Баженовское</w:t>
      </w:r>
      <w:proofErr w:type="spellEnd"/>
      <w:r w:rsidRPr="00275B7E">
        <w:rPr>
          <w:sz w:val="28"/>
          <w:szCs w:val="28"/>
        </w:rPr>
        <w:t xml:space="preserve"> сельское поселение       </w:t>
      </w:r>
      <w:r w:rsidR="00302705">
        <w:rPr>
          <w:sz w:val="28"/>
          <w:szCs w:val="28"/>
        </w:rPr>
        <w:t xml:space="preserve">             </w:t>
      </w:r>
      <w:r w:rsidR="003A54D9">
        <w:rPr>
          <w:sz w:val="28"/>
          <w:szCs w:val="28"/>
        </w:rPr>
        <w:t xml:space="preserve">                                </w:t>
      </w:r>
      <w:r w:rsidR="00302705">
        <w:rPr>
          <w:sz w:val="28"/>
          <w:szCs w:val="28"/>
        </w:rPr>
        <w:t xml:space="preserve"> </w:t>
      </w:r>
      <w:r w:rsidRPr="00275B7E">
        <w:rPr>
          <w:sz w:val="28"/>
          <w:szCs w:val="28"/>
        </w:rPr>
        <w:t xml:space="preserve">С.М. Спирин                                          </w:t>
      </w:r>
    </w:p>
    <w:p w:rsidR="00AB06EB" w:rsidRPr="00275B7E" w:rsidRDefault="00AB06EB" w:rsidP="00AB06EB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AB06EB" w:rsidRPr="00275B7E" w:rsidRDefault="00AB06EB" w:rsidP="00AB06E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57127D" w:rsidRPr="00275B7E" w:rsidRDefault="0057127D" w:rsidP="00AB06E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r w:rsidRPr="00AB06EB">
        <w:lastRenderedPageBreak/>
        <w:t>Приложение № 1</w:t>
      </w: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r w:rsidRPr="00AB06EB">
        <w:t xml:space="preserve">к Порядку определения объема и условий </w:t>
      </w: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r w:rsidRPr="00AB06EB">
        <w:t xml:space="preserve">предоставления субсидий из бюджета </w:t>
      </w: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r w:rsidRPr="00AB06EB">
        <w:t xml:space="preserve">муниципального образования </w:t>
      </w:r>
      <w:proofErr w:type="spellStart"/>
      <w:r w:rsidRPr="00AB06EB">
        <w:t>Баженовское</w:t>
      </w:r>
      <w:proofErr w:type="spellEnd"/>
      <w:r w:rsidRPr="00AB06EB">
        <w:t xml:space="preserve"> сельское поселение</w:t>
      </w: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r w:rsidRPr="00AB06EB">
        <w:t xml:space="preserve"> муниципальным бюджетным учреждениям на иные цели</w:t>
      </w: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r w:rsidRPr="00AB06EB">
        <w:t xml:space="preserve">(с изменениями  от  </w:t>
      </w:r>
      <w:r w:rsidR="00477386">
        <w:t>06</w:t>
      </w:r>
      <w:r w:rsidRPr="00AB06EB">
        <w:t>.</w:t>
      </w:r>
      <w:r w:rsidR="00477386">
        <w:t>12</w:t>
      </w:r>
      <w:r w:rsidRPr="00AB06EB">
        <w:t>.202</w:t>
      </w:r>
      <w:r w:rsidR="00302705">
        <w:t>4</w:t>
      </w:r>
      <w:r w:rsidRPr="00AB06EB">
        <w:t>)</w:t>
      </w:r>
    </w:p>
    <w:p w:rsidR="00AB06EB" w:rsidRDefault="00AB06EB" w:rsidP="00AB06EB">
      <w:pPr>
        <w:pStyle w:val="a7"/>
        <w:spacing w:before="0" w:beforeAutospacing="0" w:after="0" w:afterAutospacing="0"/>
      </w:pPr>
    </w:p>
    <w:p w:rsidR="00110277" w:rsidRDefault="00110277" w:rsidP="00477386">
      <w:pPr>
        <w:pStyle w:val="a7"/>
        <w:spacing w:before="0" w:beforeAutospacing="0" w:after="0" w:afterAutospacing="0"/>
        <w:rPr>
          <w:b/>
        </w:rPr>
      </w:pPr>
    </w:p>
    <w:p w:rsidR="00AB06EB" w:rsidRDefault="00AB06EB" w:rsidP="00AB06EB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Перечень</w:t>
      </w:r>
    </w:p>
    <w:p w:rsidR="00AB06EB" w:rsidRDefault="00AB06EB" w:rsidP="00AB06EB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аналитических кодов и указания по отнесению расходов</w:t>
      </w:r>
    </w:p>
    <w:p w:rsidR="00AB06EB" w:rsidRDefault="00AB06EB" w:rsidP="00AB06EB">
      <w:pPr>
        <w:pStyle w:val="a7"/>
        <w:spacing w:before="0" w:beforeAutospacing="0" w:after="0" w:afterAutospacing="0"/>
        <w:jc w:val="center"/>
      </w:pPr>
      <w:r>
        <w:rPr>
          <w:b/>
        </w:rPr>
        <w:t>для учета операций с целевыми субсидиями</w:t>
      </w:r>
    </w:p>
    <w:p w:rsidR="00AB06EB" w:rsidRDefault="00AB06EB" w:rsidP="00AB06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55"/>
        <w:gridCol w:w="1176"/>
        <w:gridCol w:w="3965"/>
        <w:gridCol w:w="3827"/>
      </w:tblGrid>
      <w:tr w:rsidR="00AB06EB" w:rsidTr="00DF6C2B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№</w:t>
            </w:r>
          </w:p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строки</w:t>
            </w:r>
          </w:p>
          <w:p w:rsidR="00AB06EB" w:rsidRPr="00755948" w:rsidRDefault="00AB06EB" w:rsidP="00DF6C2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5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Целевая субсидия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5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Указания по отнесению</w:t>
            </w:r>
            <w:r w:rsidRPr="00755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расходов</w:t>
            </w:r>
          </w:p>
        </w:tc>
      </w:tr>
      <w:tr w:rsidR="00AB06EB" w:rsidTr="00DF6C2B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55948">
              <w:rPr>
                <w:bCs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55948">
              <w:rPr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rPr>
                <w:sz w:val="22"/>
                <w:szCs w:val="22"/>
                <w:lang w:eastAsia="en-US"/>
              </w:rPr>
            </w:pP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B06EB" w:rsidTr="00DF6C2B">
        <w:trPr>
          <w:trHeight w:val="81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Приобретение резервных источников</w:t>
            </w:r>
            <w:r>
              <w:rPr>
                <w:sz w:val="22"/>
                <w:szCs w:val="22"/>
                <w:lang w:eastAsia="en-US"/>
              </w:rPr>
              <w:t xml:space="preserve"> бесперебойного питания</w:t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 приобретение резервных источников бесперебойного питания</w:t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</w:tr>
      <w:tr w:rsidR="00AB06EB" w:rsidTr="00DF6C2B">
        <w:trPr>
          <w:trHeight w:val="8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920.1.112</w:t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80458B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Поставка оборудования для монтажа </w:t>
            </w:r>
            <w:r>
              <w:rPr>
                <w:sz w:val="22"/>
                <w:szCs w:val="22"/>
                <w:lang w:eastAsia="en-US"/>
              </w:rPr>
              <w:t>тревожной сигнализации</w:t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 поставку оборудования для монтажа тревожной сигнализации</w:t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</w:tr>
      <w:tr w:rsidR="00AB06EB" w:rsidTr="00DF6C2B">
        <w:trPr>
          <w:trHeight w:val="7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920.1.113</w:t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Замена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Городищен</w:t>
            </w:r>
            <w:r>
              <w:rPr>
                <w:sz w:val="22"/>
                <w:szCs w:val="22"/>
                <w:lang w:eastAsia="en-US"/>
              </w:rPr>
              <w:t>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Доме культуры.</w:t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Относятся расходы на замену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Городищенском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</w:tr>
      <w:tr w:rsidR="00AB06EB" w:rsidTr="00DF6C2B">
        <w:trPr>
          <w:trHeight w:val="7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Замена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Вязовском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Доме культуры.</w:t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Относятся расходы на замену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Вязовском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Замена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Баженовском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Доме культуры.</w:t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Относятся расходы на замену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Баженовском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Капитальный ремонт оконных проемов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Макушинском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сельском Доме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Относятся расходы на капитальный ремонт оконных проемов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Макушинском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сельском Доме культуры за счет местного бюджета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920.3.117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Капитальный ремонт оконных проемов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Макушинском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сельском Доме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Относятся расходы на капитальный ремонт оконных проемов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Макушинском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сельском Доме культуры за счет районного бюджета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920.3.118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Замена электрических котлов для отопления помещений 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eastAsia="en-US"/>
              </w:rPr>
              <w:t>ома культуры</w:t>
            </w:r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 замену электрических котлов для отопления помещений 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eastAsia="en-US"/>
              </w:rPr>
              <w:t>ома культуры</w:t>
            </w:r>
            <w:r w:rsidRPr="00755948">
              <w:rPr>
                <w:sz w:val="22"/>
                <w:szCs w:val="22"/>
                <w:lang w:eastAsia="en-US"/>
              </w:rPr>
              <w:t xml:space="preserve"> за счет районного бюджета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Замена электрических котлов для отопления помещений 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 замену электрических котлов для отопления помещений 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eastAsia="en-US"/>
              </w:rPr>
              <w:t xml:space="preserve">ома культуры </w:t>
            </w:r>
            <w:r w:rsidRPr="00755948">
              <w:rPr>
                <w:sz w:val="22"/>
                <w:szCs w:val="22"/>
                <w:lang w:eastAsia="en-US"/>
              </w:rPr>
              <w:t xml:space="preserve"> за счет местного бюджета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Приобретение звукового оборудования для </w:t>
            </w:r>
            <w:proofErr w:type="spellStart"/>
            <w:r>
              <w:rPr>
                <w:sz w:val="22"/>
                <w:szCs w:val="22"/>
                <w:lang w:eastAsia="en-US"/>
              </w:rPr>
              <w:t>Городищенского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</w:t>
            </w:r>
            <w:r>
              <w:rPr>
                <w:sz w:val="22"/>
                <w:szCs w:val="22"/>
                <w:lang w:eastAsia="en-US"/>
              </w:rPr>
              <w:t xml:space="preserve"> на приобретение звукового оборудования для </w:t>
            </w:r>
            <w:proofErr w:type="spellStart"/>
            <w:r>
              <w:rPr>
                <w:sz w:val="22"/>
                <w:szCs w:val="22"/>
                <w:lang w:eastAsia="en-US"/>
              </w:rPr>
              <w:t>Городищенского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Капитальный ремонт кровли </w:t>
            </w:r>
            <w:proofErr w:type="spellStart"/>
            <w:r>
              <w:rPr>
                <w:sz w:val="22"/>
                <w:szCs w:val="22"/>
                <w:lang w:eastAsia="en-US"/>
              </w:rPr>
              <w:t>Вязовского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</w:t>
            </w:r>
            <w:r>
              <w:rPr>
                <w:sz w:val="22"/>
                <w:szCs w:val="22"/>
                <w:lang w:eastAsia="en-US"/>
              </w:rPr>
              <w:t xml:space="preserve"> капитальный ремонт кровли </w:t>
            </w:r>
            <w:proofErr w:type="spellStart"/>
            <w:r>
              <w:rPr>
                <w:sz w:val="22"/>
                <w:szCs w:val="22"/>
                <w:lang w:eastAsia="en-US"/>
              </w:rPr>
              <w:t>Вязовского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AB06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920.2.122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забора </w:t>
            </w:r>
            <w:proofErr w:type="spellStart"/>
            <w:r>
              <w:rPr>
                <w:sz w:val="22"/>
                <w:szCs w:val="22"/>
                <w:lang w:eastAsia="en-US"/>
              </w:rPr>
              <w:t>Гуляевской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сельской библиотеки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</w:t>
            </w:r>
            <w:r>
              <w:rPr>
                <w:sz w:val="22"/>
                <w:szCs w:val="22"/>
                <w:lang w:eastAsia="en-US"/>
              </w:rPr>
              <w:t xml:space="preserve"> устройство забора </w:t>
            </w:r>
            <w:proofErr w:type="spellStart"/>
            <w:r>
              <w:rPr>
                <w:sz w:val="22"/>
                <w:szCs w:val="22"/>
                <w:lang w:eastAsia="en-US"/>
              </w:rPr>
              <w:t>Гуляевской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сельской библиотеки</w:t>
            </w:r>
          </w:p>
        </w:tc>
      </w:tr>
      <w:tr w:rsidR="00AB06EB" w:rsidTr="00AB06EB">
        <w:trPr>
          <w:trHeight w:val="21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920.1.123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надувной сцены для Нижн</w:t>
            </w:r>
            <w:proofErr w:type="gramStart"/>
            <w:r>
              <w:rPr>
                <w:sz w:val="22"/>
                <w:szCs w:val="22"/>
                <w:lang w:eastAsia="en-US"/>
              </w:rPr>
              <w:t>е-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</w:t>
            </w:r>
            <w:r>
              <w:rPr>
                <w:sz w:val="22"/>
                <w:szCs w:val="22"/>
                <w:lang w:eastAsia="en-US"/>
              </w:rPr>
              <w:t xml:space="preserve"> на приобретение надувной сцены для Нижн</w:t>
            </w:r>
            <w:proofErr w:type="gramStart"/>
            <w:r>
              <w:rPr>
                <w:sz w:val="22"/>
                <w:szCs w:val="22"/>
                <w:lang w:eastAsia="en-US"/>
              </w:rPr>
              <w:t>е-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Иленского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</w:tr>
      <w:tr w:rsidR="00A45E12" w:rsidTr="00AB06EB">
        <w:trPr>
          <w:trHeight w:val="21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4E5916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4E59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920.1.124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4E5916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строительного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объектом « Капитальный ремонт кровли </w:t>
            </w:r>
            <w:proofErr w:type="spellStart"/>
            <w:r>
              <w:rPr>
                <w:lang w:eastAsia="en-US"/>
              </w:rPr>
              <w:t>Вязовского</w:t>
            </w:r>
            <w:proofErr w:type="spellEnd"/>
            <w:r>
              <w:rPr>
                <w:lang w:eastAsia="en-US"/>
              </w:rPr>
              <w:t xml:space="preserve"> Дома культуры»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4E5916">
            <w:pPr>
              <w:pStyle w:val="a7"/>
              <w:rPr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lang w:eastAsia="en-US"/>
              </w:rPr>
              <w:t xml:space="preserve"> осуществление  строительного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объектом «Капитальный ремонт кровли </w:t>
            </w:r>
            <w:proofErr w:type="spellStart"/>
            <w:r>
              <w:rPr>
                <w:lang w:eastAsia="en-US"/>
              </w:rPr>
              <w:t>Вязовского</w:t>
            </w:r>
            <w:proofErr w:type="spellEnd"/>
            <w:r>
              <w:rPr>
                <w:lang w:eastAsia="en-US"/>
              </w:rPr>
              <w:t xml:space="preserve"> Дома культуры» </w:t>
            </w:r>
          </w:p>
        </w:tc>
      </w:tr>
      <w:tr w:rsidR="0048760F" w:rsidTr="00AB06EB">
        <w:trPr>
          <w:trHeight w:val="21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E5916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E59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920.1.125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8760F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системы отопления </w:t>
            </w:r>
            <w:r w:rsidRPr="00755948">
              <w:rPr>
                <w:sz w:val="22"/>
                <w:szCs w:val="22"/>
                <w:lang w:eastAsia="en-US"/>
              </w:rPr>
              <w:t>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Pr="00755948" w:rsidRDefault="0048760F" w:rsidP="0048760F">
            <w:pPr>
              <w:pStyle w:val="a7"/>
              <w:rPr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lang w:eastAsia="en-US"/>
              </w:rPr>
              <w:t xml:space="preserve"> капитальный ремонт системы отопления </w:t>
            </w:r>
            <w:r w:rsidRPr="00755948">
              <w:rPr>
                <w:sz w:val="22"/>
                <w:szCs w:val="22"/>
                <w:lang w:eastAsia="en-US"/>
              </w:rPr>
              <w:t>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Дома культуры</w:t>
            </w:r>
            <w:r w:rsidR="00EA65AD">
              <w:rPr>
                <w:sz w:val="22"/>
                <w:szCs w:val="22"/>
                <w:lang w:eastAsia="en-US"/>
              </w:rPr>
              <w:t xml:space="preserve"> за счет местного бюджета</w:t>
            </w:r>
          </w:p>
        </w:tc>
      </w:tr>
      <w:tr w:rsidR="0048760F" w:rsidTr="00AB06EB">
        <w:trPr>
          <w:trHeight w:val="21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E5916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E59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920.1.126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E5916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системы отопления </w:t>
            </w:r>
            <w:r w:rsidRPr="00755948">
              <w:rPr>
                <w:sz w:val="22"/>
                <w:szCs w:val="22"/>
                <w:lang w:eastAsia="en-US"/>
              </w:rPr>
              <w:t>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Pr="00755948" w:rsidRDefault="0048760F" w:rsidP="004E5916">
            <w:pPr>
              <w:pStyle w:val="a7"/>
              <w:rPr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lang w:eastAsia="en-US"/>
              </w:rPr>
              <w:t xml:space="preserve"> капитальный ремонт системы отопления </w:t>
            </w:r>
            <w:r w:rsidRPr="00755948">
              <w:rPr>
                <w:sz w:val="22"/>
                <w:szCs w:val="22"/>
                <w:lang w:eastAsia="en-US"/>
              </w:rPr>
              <w:t>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Дома культуры</w:t>
            </w:r>
            <w:r w:rsidR="00EA65AD">
              <w:rPr>
                <w:sz w:val="22"/>
                <w:szCs w:val="22"/>
                <w:lang w:eastAsia="en-US"/>
              </w:rPr>
              <w:t xml:space="preserve"> за счет районного бюджета</w:t>
            </w:r>
          </w:p>
        </w:tc>
      </w:tr>
      <w:tr w:rsidR="00A45E12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48760F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9860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920.1.12</w:t>
            </w:r>
            <w:r w:rsidR="009860C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DF6C2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забора </w:t>
            </w:r>
            <w:proofErr w:type="spellStart"/>
            <w:r>
              <w:rPr>
                <w:sz w:val="22"/>
                <w:szCs w:val="22"/>
                <w:lang w:eastAsia="en-US"/>
              </w:rPr>
              <w:t>Гуляевской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сельской библиотеки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Pr="00755948" w:rsidRDefault="00A45E12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</w:t>
            </w:r>
            <w:r>
              <w:rPr>
                <w:sz w:val="22"/>
                <w:szCs w:val="22"/>
                <w:lang w:eastAsia="en-US"/>
              </w:rPr>
              <w:t xml:space="preserve"> устройство забора </w:t>
            </w:r>
            <w:proofErr w:type="spellStart"/>
            <w:r>
              <w:rPr>
                <w:sz w:val="22"/>
                <w:szCs w:val="22"/>
                <w:lang w:eastAsia="en-US"/>
              </w:rPr>
              <w:t>Гуляевской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сельской библиотеки</w:t>
            </w:r>
          </w:p>
        </w:tc>
      </w:tr>
      <w:tr w:rsidR="00A360D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9860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920.1.128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DF6C2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системы экстренного оповещения при ЧС в </w:t>
            </w:r>
            <w:proofErr w:type="spellStart"/>
            <w:r>
              <w:rPr>
                <w:sz w:val="22"/>
                <w:szCs w:val="22"/>
                <w:lang w:eastAsia="en-US"/>
              </w:rPr>
              <w:t>Городищенском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Pr="00755948" w:rsidRDefault="00A360DB" w:rsidP="00A360D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sz w:val="22"/>
                <w:szCs w:val="22"/>
                <w:lang w:eastAsia="en-US"/>
              </w:rPr>
              <w:t xml:space="preserve"> устройство системы экстренного оповещения при ЧС в </w:t>
            </w:r>
            <w:proofErr w:type="spellStart"/>
            <w:r>
              <w:rPr>
                <w:sz w:val="22"/>
                <w:szCs w:val="22"/>
                <w:lang w:eastAsia="en-US"/>
              </w:rPr>
              <w:t>Городищенском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</w:tr>
      <w:tr w:rsidR="00A360D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9860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920.1.129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A360D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системы экстренного оповещения при ЧС в </w:t>
            </w:r>
            <w:proofErr w:type="spellStart"/>
            <w:r>
              <w:rPr>
                <w:sz w:val="22"/>
                <w:szCs w:val="22"/>
                <w:lang w:eastAsia="en-US"/>
              </w:rPr>
              <w:t>Баженовском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Pr="00755948" w:rsidRDefault="00A360DB" w:rsidP="00A360D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sz w:val="22"/>
                <w:szCs w:val="22"/>
                <w:lang w:eastAsia="en-US"/>
              </w:rPr>
              <w:t xml:space="preserve"> устройство системы экстренного оповещения при ЧС в </w:t>
            </w:r>
            <w:proofErr w:type="spellStart"/>
            <w:r>
              <w:rPr>
                <w:sz w:val="22"/>
                <w:szCs w:val="22"/>
                <w:lang w:eastAsia="en-US"/>
              </w:rPr>
              <w:t>Баженовском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</w:tr>
      <w:tr w:rsidR="00A360D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9860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A360D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системы экстренного оповещения при ЧС в </w:t>
            </w:r>
            <w:proofErr w:type="spellStart"/>
            <w:r>
              <w:rPr>
                <w:sz w:val="22"/>
                <w:szCs w:val="22"/>
                <w:lang w:eastAsia="en-US"/>
              </w:rPr>
              <w:t>Макушинском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Pr="00755948" w:rsidRDefault="00A360D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sz w:val="22"/>
                <w:szCs w:val="22"/>
                <w:lang w:eastAsia="en-US"/>
              </w:rPr>
              <w:t xml:space="preserve"> устройство системы экстренного оповещения при ЧС в </w:t>
            </w:r>
            <w:proofErr w:type="spellStart"/>
            <w:r>
              <w:rPr>
                <w:sz w:val="22"/>
                <w:szCs w:val="22"/>
                <w:lang w:eastAsia="en-US"/>
              </w:rPr>
              <w:t>Макушинском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</w:tr>
      <w:tr w:rsidR="00A360D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9860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920.1.131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A360D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системы экстренного оповещения при ЧС в </w:t>
            </w:r>
            <w:proofErr w:type="spellStart"/>
            <w:r>
              <w:rPr>
                <w:sz w:val="22"/>
                <w:szCs w:val="22"/>
                <w:lang w:eastAsia="en-US"/>
              </w:rPr>
              <w:t>Вязовском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Pr="00755948" w:rsidRDefault="00A360D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sz w:val="22"/>
                <w:szCs w:val="22"/>
                <w:lang w:eastAsia="en-US"/>
              </w:rPr>
              <w:t xml:space="preserve"> устройство системы экстренного оповещения при ЧС в </w:t>
            </w:r>
            <w:proofErr w:type="spellStart"/>
            <w:r>
              <w:rPr>
                <w:sz w:val="22"/>
                <w:szCs w:val="22"/>
                <w:lang w:eastAsia="en-US"/>
              </w:rPr>
              <w:t>Вязовском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</w:tr>
      <w:tr w:rsidR="00A360D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9860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920.1.132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A41C31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Проектирование пожарной сигнализации и системы оповещения  управления эвакуаци</w:t>
            </w:r>
            <w:r w:rsidR="00A41C31">
              <w:rPr>
                <w:sz w:val="22"/>
                <w:szCs w:val="22"/>
                <w:lang w:eastAsia="en-US"/>
              </w:rPr>
              <w:t xml:space="preserve">ей </w:t>
            </w:r>
            <w:r w:rsidR="00275B7E"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Вязовский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культуры</w:t>
            </w:r>
            <w:r w:rsidR="00275B7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Pr="00755948" w:rsidRDefault="00275B7E" w:rsidP="00A41C31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sz w:val="22"/>
                <w:szCs w:val="22"/>
                <w:lang w:eastAsia="en-US"/>
              </w:rPr>
              <w:t xml:space="preserve"> Проектирование пожарной сигнализации и системы оповещения  управления эвакуаци</w:t>
            </w:r>
            <w:r w:rsidR="00A41C31">
              <w:rPr>
                <w:sz w:val="22"/>
                <w:szCs w:val="22"/>
                <w:lang w:eastAsia="en-US"/>
              </w:rPr>
              <w:t>ей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Вязовский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культуры)</w:t>
            </w:r>
          </w:p>
        </w:tc>
      </w:tr>
      <w:tr w:rsidR="00A360D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A360DB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275B7E" w:rsidP="009860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920.1.133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Default="00275B7E" w:rsidP="00A41C31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пандуса, кнопки вызова, поручней в здании </w:t>
            </w:r>
            <w:proofErr w:type="spellStart"/>
            <w:r>
              <w:rPr>
                <w:sz w:val="22"/>
                <w:szCs w:val="22"/>
                <w:lang w:eastAsia="en-US"/>
              </w:rPr>
              <w:t>Макуш</w:t>
            </w:r>
            <w:r w:rsidR="00A41C31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DB" w:rsidRPr="00755948" w:rsidRDefault="00275B7E" w:rsidP="00A41C31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устройство пандуса, кнопки вызова, поручней в здании </w:t>
            </w:r>
            <w:proofErr w:type="spellStart"/>
            <w:r>
              <w:rPr>
                <w:sz w:val="22"/>
                <w:szCs w:val="22"/>
                <w:lang w:eastAsia="en-US"/>
              </w:rPr>
              <w:t>Макуш</w:t>
            </w:r>
            <w:r w:rsidR="00A41C31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Дома культуры</w:t>
            </w:r>
          </w:p>
        </w:tc>
      </w:tr>
      <w:tr w:rsidR="00302705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5" w:rsidRPr="004A2B2E" w:rsidRDefault="00302705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4A2B2E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5" w:rsidRPr="004A2B2E" w:rsidRDefault="00302705" w:rsidP="009860C2">
            <w:pPr>
              <w:jc w:val="center"/>
              <w:rPr>
                <w:sz w:val="22"/>
                <w:szCs w:val="22"/>
                <w:lang w:eastAsia="en-US"/>
              </w:rPr>
            </w:pPr>
            <w:r w:rsidRPr="004A2B2E">
              <w:rPr>
                <w:sz w:val="22"/>
                <w:szCs w:val="22"/>
                <w:lang w:eastAsia="en-US"/>
              </w:rPr>
              <w:t>920.1.134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5" w:rsidRPr="004A2B2E" w:rsidRDefault="00302705" w:rsidP="00A41C31">
            <w:pPr>
              <w:pStyle w:val="a7"/>
              <w:rPr>
                <w:sz w:val="22"/>
                <w:szCs w:val="22"/>
                <w:lang w:eastAsia="en-US"/>
              </w:rPr>
            </w:pPr>
            <w:r w:rsidRPr="004A2B2E">
              <w:rPr>
                <w:sz w:val="22"/>
                <w:szCs w:val="22"/>
                <w:lang w:eastAsia="en-US"/>
              </w:rPr>
              <w:t xml:space="preserve">Капитальный ремонт </w:t>
            </w:r>
            <w:proofErr w:type="spellStart"/>
            <w:r w:rsidRPr="004A2B2E">
              <w:rPr>
                <w:sz w:val="22"/>
                <w:szCs w:val="22"/>
                <w:lang w:eastAsia="en-US"/>
              </w:rPr>
              <w:t>Макушинского</w:t>
            </w:r>
            <w:proofErr w:type="spellEnd"/>
            <w:r w:rsidRPr="004A2B2E">
              <w:rPr>
                <w:sz w:val="22"/>
                <w:szCs w:val="22"/>
                <w:lang w:eastAsia="en-US"/>
              </w:rPr>
              <w:t xml:space="preserve"> сельского 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5" w:rsidRPr="004A2B2E" w:rsidRDefault="00302705" w:rsidP="00302705">
            <w:pPr>
              <w:pStyle w:val="a7"/>
              <w:rPr>
                <w:lang w:eastAsia="en-US"/>
              </w:rPr>
            </w:pPr>
            <w:r w:rsidRPr="004A2B2E">
              <w:rPr>
                <w:sz w:val="22"/>
                <w:szCs w:val="22"/>
                <w:lang w:eastAsia="en-US"/>
              </w:rPr>
              <w:t xml:space="preserve">Относятся расходы на капитальный ремонт </w:t>
            </w:r>
            <w:proofErr w:type="spellStart"/>
            <w:r w:rsidRPr="004A2B2E">
              <w:rPr>
                <w:sz w:val="22"/>
                <w:szCs w:val="22"/>
                <w:lang w:eastAsia="en-US"/>
              </w:rPr>
              <w:t>Макушинского</w:t>
            </w:r>
            <w:proofErr w:type="spellEnd"/>
            <w:r w:rsidRPr="004A2B2E">
              <w:rPr>
                <w:sz w:val="22"/>
                <w:szCs w:val="22"/>
                <w:lang w:eastAsia="en-US"/>
              </w:rPr>
              <w:t xml:space="preserve"> сельского Дома культуры за счет местного бюджета</w:t>
            </w:r>
          </w:p>
        </w:tc>
      </w:tr>
      <w:tr w:rsidR="00302705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5" w:rsidRPr="004A2B2E" w:rsidRDefault="00302705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4A2B2E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5" w:rsidRPr="004A2B2E" w:rsidRDefault="00302705" w:rsidP="004A2B2E">
            <w:pPr>
              <w:jc w:val="center"/>
              <w:rPr>
                <w:sz w:val="22"/>
                <w:szCs w:val="22"/>
                <w:lang w:eastAsia="en-US"/>
              </w:rPr>
            </w:pPr>
            <w:r w:rsidRPr="004A2B2E">
              <w:rPr>
                <w:sz w:val="22"/>
                <w:szCs w:val="22"/>
                <w:lang w:eastAsia="en-US"/>
              </w:rPr>
              <w:t>920.</w:t>
            </w:r>
            <w:r w:rsidR="004A2B2E" w:rsidRPr="004A2B2E">
              <w:rPr>
                <w:sz w:val="22"/>
                <w:szCs w:val="22"/>
                <w:lang w:eastAsia="en-US"/>
              </w:rPr>
              <w:t>1</w:t>
            </w:r>
            <w:r w:rsidRPr="004A2B2E">
              <w:rPr>
                <w:sz w:val="22"/>
                <w:szCs w:val="22"/>
                <w:lang w:eastAsia="en-US"/>
              </w:rPr>
              <w:t>.135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5" w:rsidRPr="004A2B2E" w:rsidRDefault="00302705" w:rsidP="00A41C31">
            <w:pPr>
              <w:pStyle w:val="a7"/>
              <w:rPr>
                <w:sz w:val="22"/>
                <w:szCs w:val="22"/>
                <w:lang w:eastAsia="en-US"/>
              </w:rPr>
            </w:pPr>
            <w:r w:rsidRPr="004A2B2E">
              <w:rPr>
                <w:sz w:val="22"/>
                <w:szCs w:val="22"/>
                <w:lang w:eastAsia="en-US"/>
              </w:rPr>
              <w:t xml:space="preserve">Капитальный ремонт </w:t>
            </w:r>
            <w:proofErr w:type="spellStart"/>
            <w:r w:rsidRPr="004A2B2E">
              <w:rPr>
                <w:sz w:val="22"/>
                <w:szCs w:val="22"/>
                <w:lang w:eastAsia="en-US"/>
              </w:rPr>
              <w:t>Макушинского</w:t>
            </w:r>
            <w:proofErr w:type="spellEnd"/>
            <w:r w:rsidRPr="004A2B2E">
              <w:rPr>
                <w:sz w:val="22"/>
                <w:szCs w:val="22"/>
                <w:lang w:eastAsia="en-US"/>
              </w:rPr>
              <w:t xml:space="preserve"> сельского 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5" w:rsidRPr="004A2B2E" w:rsidRDefault="00302705" w:rsidP="00302705">
            <w:pPr>
              <w:pStyle w:val="a7"/>
              <w:rPr>
                <w:lang w:eastAsia="en-US"/>
              </w:rPr>
            </w:pPr>
            <w:r w:rsidRPr="004A2B2E">
              <w:rPr>
                <w:sz w:val="22"/>
                <w:szCs w:val="22"/>
                <w:lang w:eastAsia="en-US"/>
              </w:rPr>
              <w:t xml:space="preserve">Относятся расходы на капитальный ремонт </w:t>
            </w:r>
            <w:proofErr w:type="spellStart"/>
            <w:r w:rsidRPr="004A2B2E">
              <w:rPr>
                <w:sz w:val="22"/>
                <w:szCs w:val="22"/>
                <w:lang w:eastAsia="en-US"/>
              </w:rPr>
              <w:t>Макушинского</w:t>
            </w:r>
            <w:proofErr w:type="spellEnd"/>
            <w:r w:rsidRPr="004A2B2E">
              <w:rPr>
                <w:sz w:val="22"/>
                <w:szCs w:val="22"/>
                <w:lang w:eastAsia="en-US"/>
              </w:rPr>
              <w:t xml:space="preserve"> сельского Дома культуры за счет районного бюджета</w:t>
            </w:r>
          </w:p>
        </w:tc>
      </w:tr>
      <w:tr w:rsidR="001B4171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1" w:rsidRPr="004A2B2E" w:rsidRDefault="001B4171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1" w:rsidRPr="004A2B2E" w:rsidRDefault="001B4171" w:rsidP="004A2B2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920.3.136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1" w:rsidRPr="004A2B2E" w:rsidRDefault="001B4171" w:rsidP="00A41C31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Приобретение шатра для </w:t>
            </w:r>
            <w:proofErr w:type="spellStart"/>
            <w:r>
              <w:rPr>
                <w:sz w:val="22"/>
                <w:szCs w:val="22"/>
                <w:lang w:eastAsia="en-US"/>
              </w:rPr>
              <w:t>Городищенского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1" w:rsidRPr="004A2B2E" w:rsidRDefault="001B4171" w:rsidP="001B4171">
            <w:pPr>
              <w:pStyle w:val="a7"/>
              <w:rPr>
                <w:sz w:val="22"/>
                <w:szCs w:val="22"/>
                <w:lang w:eastAsia="en-US"/>
              </w:rPr>
            </w:pPr>
            <w:r w:rsidRPr="000A6E37">
              <w:rPr>
                <w:sz w:val="22"/>
                <w:szCs w:val="22"/>
                <w:lang w:eastAsia="en-US"/>
              </w:rPr>
              <w:t xml:space="preserve">Относятся расходы на приобретение шатра для </w:t>
            </w:r>
            <w:proofErr w:type="spellStart"/>
            <w:r w:rsidRPr="000A6E37">
              <w:rPr>
                <w:sz w:val="22"/>
                <w:szCs w:val="22"/>
                <w:lang w:eastAsia="en-US"/>
              </w:rPr>
              <w:t>Городищенского</w:t>
            </w:r>
            <w:proofErr w:type="spellEnd"/>
            <w:r w:rsidRPr="000A6E37">
              <w:rPr>
                <w:sz w:val="22"/>
                <w:szCs w:val="22"/>
                <w:lang w:eastAsia="en-US"/>
              </w:rPr>
              <w:t xml:space="preserve"> Дома культуры за счет  резервного фонда Правительства Свердловской области</w:t>
            </w:r>
          </w:p>
        </w:tc>
      </w:tr>
      <w:tr w:rsidR="00477386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86" w:rsidRDefault="00477386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86" w:rsidRDefault="00477386" w:rsidP="004A2B2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920.1.137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86" w:rsidRDefault="00477386" w:rsidP="00A41C31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Приобретение бильярдного стола для </w:t>
            </w:r>
            <w:proofErr w:type="spellStart"/>
            <w:r>
              <w:rPr>
                <w:sz w:val="22"/>
                <w:szCs w:val="22"/>
                <w:lang w:eastAsia="en-US"/>
              </w:rPr>
              <w:t>Баженовского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86" w:rsidRPr="000A6E37" w:rsidRDefault="00477386" w:rsidP="00477386">
            <w:pPr>
              <w:pStyle w:val="a7"/>
              <w:rPr>
                <w:sz w:val="22"/>
                <w:szCs w:val="22"/>
                <w:lang w:eastAsia="en-US"/>
              </w:rPr>
            </w:pPr>
            <w:r w:rsidRPr="004A2B2E">
              <w:rPr>
                <w:sz w:val="22"/>
                <w:szCs w:val="22"/>
                <w:lang w:eastAsia="en-US"/>
              </w:rPr>
              <w:t xml:space="preserve">Относятся расходы на </w:t>
            </w:r>
            <w:r>
              <w:rPr>
                <w:sz w:val="22"/>
                <w:szCs w:val="22"/>
                <w:lang w:eastAsia="en-US"/>
              </w:rPr>
              <w:t xml:space="preserve">приобретение бильярдного стола для  </w:t>
            </w:r>
            <w:proofErr w:type="spellStart"/>
            <w:r>
              <w:rPr>
                <w:sz w:val="22"/>
                <w:szCs w:val="22"/>
                <w:lang w:eastAsia="en-US"/>
              </w:rPr>
              <w:t>Баженовского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A2B2E">
              <w:rPr>
                <w:sz w:val="22"/>
                <w:szCs w:val="22"/>
                <w:lang w:eastAsia="en-US"/>
              </w:rPr>
              <w:t>Дома культуры за счет местного бюджета</w:t>
            </w:r>
          </w:p>
        </w:tc>
      </w:tr>
    </w:tbl>
    <w:p w:rsidR="0037646C" w:rsidRDefault="0037646C" w:rsidP="00AB06EB">
      <w:bookmarkStart w:id="0" w:name="_GoBack"/>
      <w:bookmarkEnd w:id="0"/>
    </w:p>
    <w:sectPr w:rsidR="0037646C" w:rsidSect="00275B7E">
      <w:pgSz w:w="11906" w:h="16838"/>
      <w:pgMar w:top="567" w:right="851" w:bottom="2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EB"/>
    <w:rsid w:val="000340D0"/>
    <w:rsid w:val="000A6E37"/>
    <w:rsid w:val="00110277"/>
    <w:rsid w:val="001745CD"/>
    <w:rsid w:val="001B4171"/>
    <w:rsid w:val="00275B7E"/>
    <w:rsid w:val="002F7345"/>
    <w:rsid w:val="00302705"/>
    <w:rsid w:val="0037646C"/>
    <w:rsid w:val="003973C5"/>
    <w:rsid w:val="003A54D9"/>
    <w:rsid w:val="003B72DA"/>
    <w:rsid w:val="00467228"/>
    <w:rsid w:val="00477386"/>
    <w:rsid w:val="0048760F"/>
    <w:rsid w:val="004A2B2E"/>
    <w:rsid w:val="0057127D"/>
    <w:rsid w:val="005B2D7F"/>
    <w:rsid w:val="00700B2F"/>
    <w:rsid w:val="007432ED"/>
    <w:rsid w:val="00920D05"/>
    <w:rsid w:val="009860C2"/>
    <w:rsid w:val="00A360DB"/>
    <w:rsid w:val="00A41C31"/>
    <w:rsid w:val="00A45E12"/>
    <w:rsid w:val="00AB06EB"/>
    <w:rsid w:val="00C155F7"/>
    <w:rsid w:val="00D723E2"/>
    <w:rsid w:val="00E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6EB"/>
    <w:rPr>
      <w:color w:val="0000FF" w:themeColor="hyperlink"/>
      <w:u w:val="single"/>
    </w:rPr>
  </w:style>
  <w:style w:type="paragraph" w:styleId="a4">
    <w:name w:val="No Spacing"/>
    <w:uiPriority w:val="1"/>
    <w:qFormat/>
    <w:rsid w:val="00AB06EB"/>
    <w:pPr>
      <w:spacing w:after="0" w:line="240" w:lineRule="auto"/>
    </w:pPr>
  </w:style>
  <w:style w:type="paragraph" w:customStyle="1" w:styleId="ConsPlusNormal">
    <w:name w:val="ConsPlusNormal"/>
    <w:uiPriority w:val="99"/>
    <w:rsid w:val="00AB0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6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6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B06EB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B0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6EB"/>
    <w:rPr>
      <w:color w:val="0000FF" w:themeColor="hyperlink"/>
      <w:u w:val="single"/>
    </w:rPr>
  </w:style>
  <w:style w:type="paragraph" w:styleId="a4">
    <w:name w:val="No Spacing"/>
    <w:uiPriority w:val="1"/>
    <w:qFormat/>
    <w:rsid w:val="00AB06EB"/>
    <w:pPr>
      <w:spacing w:after="0" w:line="240" w:lineRule="auto"/>
    </w:pPr>
  </w:style>
  <w:style w:type="paragraph" w:customStyle="1" w:styleId="ConsPlusNormal">
    <w:name w:val="ConsPlusNormal"/>
    <w:uiPriority w:val="99"/>
    <w:rsid w:val="00AB0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6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6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B06EB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B0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D6E0B177BF25850E7A171C65361DA6C&amp;req=doc&amp;base=RZB&amp;n=360276&amp;REFFIELD=134&amp;REFDST=100004&amp;REFDOC=299999&amp;REFBASE=RLAW071&amp;stat=refcode%3D16876%3Bindex%3D11&amp;date=01.04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7D6E0B177BF25850E7A171C65361DA6C&amp;req=doc&amp;base=RZB&amp;n=355977&amp;dst=5905&amp;fld=134&amp;REFFIELD=134&amp;REFDST=100004&amp;REFDOC=299999&amp;REFBASE=RLAW071&amp;stat=refcode%3D10881%3Bdstident%3D5905%3Bindex%3D11&amp;date=01.04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je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8A7C-A565-41D8-89D7-A0340AA8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2024-12-06T05:57:00Z</cp:lastPrinted>
  <dcterms:created xsi:type="dcterms:W3CDTF">2024-12-06T05:57:00Z</dcterms:created>
  <dcterms:modified xsi:type="dcterms:W3CDTF">2024-12-06T05:57:00Z</dcterms:modified>
</cp:coreProperties>
</file>