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DA" w:rsidRPr="00BD3B2A" w:rsidRDefault="00024EDA" w:rsidP="00BD3B2A">
      <w:pPr>
        <w:keepNext/>
        <w:keepLines/>
        <w:ind w:right="139"/>
        <w:rPr>
          <w:rFonts w:eastAsiaTheme="minorHAnsi"/>
          <w:b/>
          <w:sz w:val="36"/>
          <w:szCs w:val="36"/>
          <w:lang w:eastAsia="en-US"/>
        </w:rPr>
      </w:pPr>
    </w:p>
    <w:p w:rsidR="00C60DC3" w:rsidRPr="00C60DC3" w:rsidRDefault="00C60DC3" w:rsidP="00762955">
      <w:pPr>
        <w:keepNext/>
        <w:keepLines/>
        <w:ind w:right="139"/>
        <w:jc w:val="center"/>
        <w:rPr>
          <w:rFonts w:eastAsiaTheme="minorHAnsi"/>
          <w:b/>
          <w:sz w:val="36"/>
          <w:szCs w:val="36"/>
          <w:lang w:eastAsia="en-US"/>
        </w:rPr>
      </w:pPr>
      <w:r w:rsidRPr="00C60DC3">
        <w:rPr>
          <w:rFonts w:eastAsiaTheme="minorHAnsi"/>
          <w:b/>
          <w:sz w:val="36"/>
          <w:szCs w:val="36"/>
          <w:lang w:eastAsia="en-US"/>
        </w:rPr>
        <w:t>МЕТОДИЧЕСКИЕ   РЕКОМЕНДАЦИИ</w:t>
      </w:r>
    </w:p>
    <w:p w:rsidR="00C60DC3" w:rsidRPr="00C60DC3" w:rsidRDefault="00C60DC3" w:rsidP="00762955">
      <w:pPr>
        <w:jc w:val="center"/>
        <w:outlineLvl w:val="2"/>
        <w:rPr>
          <w:b/>
          <w:sz w:val="36"/>
          <w:szCs w:val="36"/>
        </w:rPr>
      </w:pPr>
      <w:r w:rsidRPr="00BD3B2A">
        <w:rPr>
          <w:b/>
          <w:sz w:val="36"/>
          <w:szCs w:val="36"/>
        </w:rPr>
        <w:t>по организации работы в государственных органах Свердловской области по приему, хранению и реализации подарков</w:t>
      </w:r>
      <w:r w:rsidRPr="00AE308D">
        <w:rPr>
          <w:b/>
          <w:sz w:val="36"/>
          <w:szCs w:val="36"/>
        </w:rPr>
        <w:t>, полученных государственными гражданскими служащими Свердловской области</w:t>
      </w:r>
    </w:p>
    <w:p w:rsidR="007A2257" w:rsidRDefault="007A2257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9CE" w:rsidRDefault="00D519CE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19CE">
        <w:rPr>
          <w:rFonts w:ascii="Times New Roman" w:hAnsi="Times New Roman" w:cs="Times New Roman"/>
          <w:sz w:val="28"/>
          <w:szCs w:val="28"/>
        </w:rPr>
        <w:t>18</w:t>
      </w:r>
      <w:r w:rsidR="00C1486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519CE">
        <w:rPr>
          <w:rFonts w:ascii="Times New Roman" w:hAnsi="Times New Roman" w:cs="Times New Roman"/>
          <w:sz w:val="28"/>
          <w:szCs w:val="28"/>
        </w:rPr>
        <w:t>2014</w:t>
      </w:r>
      <w:r w:rsidR="00C1486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19CE">
        <w:rPr>
          <w:rFonts w:ascii="Times New Roman" w:hAnsi="Times New Roman" w:cs="Times New Roman"/>
          <w:sz w:val="28"/>
          <w:szCs w:val="28"/>
        </w:rPr>
        <w:t xml:space="preserve"> вступило в силу </w:t>
      </w:r>
      <w:r w:rsidR="00C14860">
        <w:rPr>
          <w:rFonts w:ascii="Times New Roman" w:hAnsi="Times New Roman" w:cs="Times New Roman"/>
          <w:sz w:val="28"/>
          <w:szCs w:val="28"/>
        </w:rPr>
        <w:t>п</w:t>
      </w:r>
      <w:r w:rsidRPr="00D519CE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C148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14860" w:rsidRPr="00D519CE">
        <w:rPr>
          <w:rFonts w:ascii="Times New Roman" w:hAnsi="Times New Roman" w:cs="Times New Roman"/>
          <w:sz w:val="28"/>
          <w:szCs w:val="28"/>
        </w:rPr>
        <w:t>Ф</w:t>
      </w:r>
      <w:r w:rsidR="00C14860">
        <w:rPr>
          <w:rFonts w:ascii="Times New Roman" w:hAnsi="Times New Roman" w:cs="Times New Roman"/>
          <w:sz w:val="28"/>
          <w:szCs w:val="28"/>
        </w:rPr>
        <w:t>едерации</w:t>
      </w:r>
      <w:r w:rsidRPr="00D519CE">
        <w:rPr>
          <w:rFonts w:ascii="Times New Roman" w:hAnsi="Times New Roman" w:cs="Times New Roman"/>
          <w:sz w:val="28"/>
          <w:szCs w:val="28"/>
        </w:rPr>
        <w:t xml:space="preserve"> от 09.01.2014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19CE">
        <w:rPr>
          <w:rFonts w:ascii="Times New Roman" w:hAnsi="Times New Roman" w:cs="Times New Roman"/>
          <w:sz w:val="28"/>
          <w:szCs w:val="28"/>
        </w:rPr>
        <w:t xml:space="preserve"> 10, которым утверждено Типовое </w:t>
      </w:r>
      <w:hyperlink r:id="rId8" w:history="1">
        <w:r w:rsidRPr="00D519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519CE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</w:t>
      </w:r>
      <w:r>
        <w:rPr>
          <w:rFonts w:ascii="Times New Roman" w:hAnsi="Times New Roman" w:cs="Times New Roman"/>
          <w:sz w:val="28"/>
          <w:szCs w:val="28"/>
        </w:rPr>
        <w:t>енных от его реализации (далее –</w:t>
      </w:r>
      <w:r w:rsidR="00992E0C">
        <w:rPr>
          <w:rFonts w:ascii="Times New Roman" w:hAnsi="Times New Roman" w:cs="Times New Roman"/>
          <w:sz w:val="28"/>
          <w:szCs w:val="28"/>
        </w:rPr>
        <w:t>Типовое п</w:t>
      </w:r>
      <w:r w:rsidRPr="00D519CE">
        <w:rPr>
          <w:rFonts w:ascii="Times New Roman" w:hAnsi="Times New Roman" w:cs="Times New Roman"/>
          <w:sz w:val="28"/>
          <w:szCs w:val="28"/>
        </w:rPr>
        <w:t>оложение)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CE" w:rsidRDefault="00D519CE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4F0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C000B">
        <w:rPr>
          <w:rFonts w:ascii="Times New Roman" w:hAnsi="Times New Roman" w:cs="Times New Roman"/>
          <w:sz w:val="28"/>
          <w:szCs w:val="28"/>
        </w:rPr>
        <w:t>определения</w:t>
      </w:r>
      <w:r w:rsidR="004F4F00">
        <w:rPr>
          <w:rFonts w:ascii="Times New Roman" w:hAnsi="Times New Roman" w:cs="Times New Roman"/>
          <w:sz w:val="28"/>
          <w:szCs w:val="28"/>
        </w:rPr>
        <w:t xml:space="preserve"> единого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областиУказ</w:t>
      </w:r>
      <w:r w:rsidR="008A666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05.03.2014 №</w:t>
      </w:r>
      <w:r w:rsidRPr="00D519CE">
        <w:rPr>
          <w:rFonts w:ascii="Times New Roman" w:hAnsi="Times New Roman" w:cs="Times New Roman"/>
          <w:sz w:val="28"/>
          <w:szCs w:val="28"/>
        </w:rPr>
        <w:t xml:space="preserve"> 122-УГ</w:t>
      </w:r>
      <w:r w:rsidR="008A666B" w:rsidRPr="008A666B">
        <w:rPr>
          <w:rFonts w:ascii="Times New Roman" w:hAnsi="Times New Roman" w:cs="Times New Roman"/>
          <w:sz w:val="28"/>
          <w:szCs w:val="28"/>
        </w:rPr>
        <w:t xml:space="preserve"> утвержден порядок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C000B">
        <w:rPr>
          <w:rFonts w:ascii="Times New Roman" w:hAnsi="Times New Roman" w:cs="Times New Roman"/>
          <w:sz w:val="28"/>
          <w:szCs w:val="28"/>
        </w:rPr>
        <w:br/>
      </w:r>
      <w:r w:rsidR="004F4F00">
        <w:rPr>
          <w:rFonts w:ascii="Times New Roman" w:hAnsi="Times New Roman" w:cs="Times New Roman"/>
          <w:sz w:val="28"/>
          <w:szCs w:val="28"/>
        </w:rPr>
        <w:t>(далее –</w:t>
      </w:r>
      <w:r w:rsidR="006E3BDC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F4F00">
        <w:rPr>
          <w:rFonts w:ascii="Times New Roman" w:hAnsi="Times New Roman" w:cs="Times New Roman"/>
          <w:sz w:val="28"/>
          <w:szCs w:val="28"/>
        </w:rPr>
        <w:t>)</w:t>
      </w:r>
      <w:r w:rsidR="00FC000B">
        <w:rPr>
          <w:rFonts w:ascii="Times New Roman" w:hAnsi="Times New Roman" w:cs="Times New Roman"/>
          <w:sz w:val="28"/>
          <w:szCs w:val="28"/>
        </w:rPr>
        <w:t>.</w:t>
      </w:r>
    </w:p>
    <w:p w:rsidR="00FC000B" w:rsidRDefault="008A666B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E3BDC">
        <w:rPr>
          <w:rFonts w:ascii="Times New Roman" w:hAnsi="Times New Roman" w:cs="Times New Roman"/>
          <w:sz w:val="28"/>
          <w:szCs w:val="28"/>
        </w:rPr>
        <w:t>Порядку</w:t>
      </w:r>
      <w:r w:rsidR="00FC000B">
        <w:rPr>
          <w:rFonts w:ascii="Times New Roman" w:hAnsi="Times New Roman" w:cs="Times New Roman"/>
          <w:sz w:val="28"/>
          <w:szCs w:val="28"/>
        </w:rPr>
        <w:t>л</w:t>
      </w:r>
      <w:r w:rsidR="00FC000B" w:rsidRPr="00FC000B">
        <w:rPr>
          <w:rFonts w:ascii="Times New Roman" w:hAnsi="Times New Roman" w:cs="Times New Roman"/>
          <w:sz w:val="28"/>
          <w:szCs w:val="28"/>
        </w:rPr>
        <w:t>ица, замещающие</w:t>
      </w:r>
      <w:r w:rsidR="00FC000B">
        <w:rPr>
          <w:rFonts w:ascii="Times New Roman" w:hAnsi="Times New Roman" w:cs="Times New Roman"/>
          <w:sz w:val="28"/>
          <w:szCs w:val="28"/>
        </w:rPr>
        <w:t>:</w:t>
      </w:r>
    </w:p>
    <w:p w:rsidR="00FC000B" w:rsidRDefault="00FC000B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00B">
        <w:rPr>
          <w:rFonts w:ascii="Times New Roman" w:hAnsi="Times New Roman" w:cs="Times New Roman"/>
          <w:sz w:val="28"/>
          <w:szCs w:val="28"/>
        </w:rPr>
        <w:t>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FC000B">
        <w:rPr>
          <w:rFonts w:ascii="Times New Roman" w:hAnsi="Times New Roman" w:cs="Times New Roman"/>
          <w:sz w:val="28"/>
          <w:szCs w:val="28"/>
        </w:rPr>
        <w:t xml:space="preserve"> и должности государственной гражданской службы Свердловской области, назначение на которые осуществляет Губернатор Свердловской области,</w:t>
      </w:r>
    </w:p>
    <w:p w:rsidR="00FC000B" w:rsidRDefault="00FC000B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00B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Свердловской области в Администрации Губернатора Свердловской области и Правительстве Свердловской области, </w:t>
      </w:r>
    </w:p>
    <w:p w:rsidR="00FC000B" w:rsidRDefault="00FC000B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0B">
        <w:rPr>
          <w:rFonts w:ascii="Times New Roman" w:hAnsi="Times New Roman" w:cs="Times New Roman"/>
          <w:sz w:val="28"/>
          <w:szCs w:val="28"/>
        </w:rPr>
        <w:t>уведомляют о получении подарка в связи с их должностным положением или исполнением ими служебных (должностных) обязанностей Управление делами Губернатора Свердловской области и Правительства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сдают в указанный орган</w:t>
      </w:r>
      <w:r w:rsidR="005A3E48">
        <w:rPr>
          <w:rFonts w:ascii="Times New Roman" w:hAnsi="Times New Roman" w:cs="Times New Roman"/>
          <w:sz w:val="28"/>
          <w:szCs w:val="28"/>
        </w:rPr>
        <w:t xml:space="preserve"> полученные</w:t>
      </w:r>
      <w:r>
        <w:rPr>
          <w:rFonts w:ascii="Times New Roman" w:hAnsi="Times New Roman" w:cs="Times New Roman"/>
          <w:sz w:val="28"/>
          <w:szCs w:val="28"/>
        </w:rPr>
        <w:t xml:space="preserve"> подарки</w:t>
      </w:r>
      <w:r w:rsidRPr="00FC000B">
        <w:rPr>
          <w:rFonts w:ascii="Times New Roman" w:hAnsi="Times New Roman" w:cs="Times New Roman"/>
          <w:sz w:val="28"/>
          <w:szCs w:val="28"/>
        </w:rPr>
        <w:t>.</w:t>
      </w:r>
    </w:p>
    <w:p w:rsidR="005F2C03" w:rsidRPr="005F2C03" w:rsidRDefault="005F2C03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03">
        <w:rPr>
          <w:rFonts w:ascii="Times New Roman" w:hAnsi="Times New Roman" w:cs="Times New Roman"/>
          <w:sz w:val="28"/>
          <w:szCs w:val="28"/>
        </w:rPr>
        <w:t>Иные лица, замещающие государственные должности</w:t>
      </w:r>
      <w:r w:rsidR="00775A5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5F2C03">
        <w:rPr>
          <w:rFonts w:ascii="Times New Roman" w:hAnsi="Times New Roman" w:cs="Times New Roman"/>
          <w:sz w:val="28"/>
          <w:szCs w:val="28"/>
        </w:rPr>
        <w:t xml:space="preserve">, </w:t>
      </w:r>
      <w:r w:rsidR="006E3BDC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</w:t>
      </w:r>
      <w:r w:rsidRPr="005F2C03">
        <w:rPr>
          <w:rFonts w:ascii="Times New Roman" w:hAnsi="Times New Roman" w:cs="Times New Roman"/>
          <w:sz w:val="28"/>
          <w:szCs w:val="28"/>
        </w:rPr>
        <w:t>служащие</w:t>
      </w:r>
      <w:r w:rsidR="006E3BDC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5F2C03">
        <w:rPr>
          <w:rFonts w:ascii="Times New Roman" w:hAnsi="Times New Roman" w:cs="Times New Roman"/>
          <w:sz w:val="28"/>
          <w:szCs w:val="28"/>
        </w:rPr>
        <w:t xml:space="preserve"> обязаны уведомлять </w:t>
      </w:r>
      <w:r w:rsidR="005A3E48">
        <w:rPr>
          <w:rFonts w:ascii="Times New Roman" w:hAnsi="Times New Roman" w:cs="Times New Roman"/>
          <w:sz w:val="28"/>
          <w:szCs w:val="28"/>
        </w:rPr>
        <w:t>о получении</w:t>
      </w:r>
      <w:r w:rsidRPr="005F2C03">
        <w:rPr>
          <w:rFonts w:ascii="Times New Roman" w:hAnsi="Times New Roman" w:cs="Times New Roman"/>
          <w:sz w:val="28"/>
          <w:szCs w:val="28"/>
        </w:rPr>
        <w:t xml:space="preserve"> подарка в связи с их должностным положением или исполнением ими служебных (должностных) обязанностей государственный орган Свердловской области, в котором указанные лица замещают должности</w:t>
      </w:r>
      <w:r w:rsidR="005A3E48">
        <w:rPr>
          <w:rFonts w:ascii="Times New Roman" w:hAnsi="Times New Roman" w:cs="Times New Roman"/>
          <w:sz w:val="28"/>
          <w:szCs w:val="28"/>
        </w:rPr>
        <w:t>, в него же и сдают подарки</w:t>
      </w:r>
      <w:r w:rsidRPr="005F2C03">
        <w:rPr>
          <w:rFonts w:ascii="Times New Roman" w:hAnsi="Times New Roman" w:cs="Times New Roman"/>
          <w:sz w:val="28"/>
          <w:szCs w:val="28"/>
        </w:rPr>
        <w:t>.</w:t>
      </w:r>
    </w:p>
    <w:p w:rsidR="004F4F00" w:rsidRPr="00D519CE" w:rsidRDefault="004F4F00" w:rsidP="00220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87871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6E3BDC">
        <w:rPr>
          <w:rFonts w:ascii="Times New Roman" w:hAnsi="Times New Roman" w:cs="Times New Roman"/>
          <w:sz w:val="28"/>
          <w:szCs w:val="28"/>
        </w:rPr>
        <w:t>Порядка</w:t>
      </w:r>
      <w:r w:rsidR="005F2C03">
        <w:rPr>
          <w:rFonts w:ascii="Times New Roman" w:hAnsi="Times New Roman" w:cs="Times New Roman"/>
          <w:sz w:val="28"/>
          <w:szCs w:val="28"/>
        </w:rPr>
        <w:t>, каждый государственный орган Свердловской области</w:t>
      </w:r>
      <w:r w:rsidR="00775A50">
        <w:rPr>
          <w:rFonts w:ascii="Times New Roman" w:hAnsi="Times New Roman" w:cs="Times New Roman"/>
          <w:sz w:val="28"/>
          <w:szCs w:val="28"/>
        </w:rPr>
        <w:t xml:space="preserve"> утверждает своим нормативным правовым актом</w:t>
      </w:r>
      <w:r w:rsidR="00687871">
        <w:rPr>
          <w:rFonts w:ascii="Times New Roman" w:hAnsi="Times New Roman" w:cs="Times New Roman"/>
          <w:sz w:val="28"/>
          <w:szCs w:val="28"/>
        </w:rPr>
        <w:t xml:space="preserve"> свой внутренний </w:t>
      </w:r>
      <w:r w:rsidR="00775A50">
        <w:rPr>
          <w:rFonts w:ascii="Times New Roman" w:hAnsi="Times New Roman" w:cs="Times New Roman"/>
          <w:sz w:val="28"/>
          <w:szCs w:val="28"/>
        </w:rPr>
        <w:t>п</w:t>
      </w:r>
      <w:r w:rsidR="00775A50" w:rsidRPr="00775A50">
        <w:rPr>
          <w:rFonts w:ascii="Times New Roman" w:hAnsi="Times New Roman" w:cs="Times New Roman"/>
          <w:sz w:val="28"/>
          <w:szCs w:val="28"/>
        </w:rPr>
        <w:t>орядок подачи уведомления</w:t>
      </w:r>
      <w:r w:rsidR="00635BE3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Свердловской области (далее – служащие)</w:t>
      </w:r>
      <w:r w:rsidR="00775A50" w:rsidRPr="00775A50">
        <w:rPr>
          <w:rFonts w:ascii="Times New Roman" w:hAnsi="Times New Roman" w:cs="Times New Roman"/>
          <w:sz w:val="28"/>
          <w:szCs w:val="28"/>
        </w:rPr>
        <w:t xml:space="preserve"> о получении подарка, сдачи и оценки подарка, реализации (выкупа) и зачисления средств</w:t>
      </w:r>
      <w:r w:rsidR="00775A50">
        <w:rPr>
          <w:rFonts w:ascii="Times New Roman" w:hAnsi="Times New Roman" w:cs="Times New Roman"/>
          <w:sz w:val="28"/>
          <w:szCs w:val="28"/>
        </w:rPr>
        <w:t xml:space="preserve">, вырученных </w:t>
      </w:r>
      <w:r w:rsidR="00775A50">
        <w:rPr>
          <w:rFonts w:ascii="Times New Roman" w:hAnsi="Times New Roman" w:cs="Times New Roman"/>
          <w:sz w:val="28"/>
          <w:szCs w:val="28"/>
        </w:rPr>
        <w:lastRenderedPageBreak/>
        <w:t>от его реализации</w:t>
      </w:r>
      <w:r w:rsidR="00221BEF">
        <w:rPr>
          <w:rFonts w:ascii="Times New Roman" w:hAnsi="Times New Roman" w:cs="Times New Roman"/>
          <w:sz w:val="28"/>
          <w:szCs w:val="28"/>
        </w:rPr>
        <w:t>, а также необходимые формы: уведомление</w:t>
      </w:r>
      <w:r w:rsidR="00DC33D1">
        <w:rPr>
          <w:rFonts w:ascii="Times New Roman" w:hAnsi="Times New Roman" w:cs="Times New Roman"/>
          <w:sz w:val="28"/>
          <w:szCs w:val="28"/>
        </w:rPr>
        <w:t xml:space="preserve"> о получении подарка</w:t>
      </w:r>
      <w:r w:rsidR="00221BEF">
        <w:rPr>
          <w:rFonts w:ascii="Times New Roman" w:hAnsi="Times New Roman" w:cs="Times New Roman"/>
          <w:sz w:val="28"/>
          <w:szCs w:val="28"/>
        </w:rPr>
        <w:t>, акт приема-передачи, акт возврата, журнал регистрации уведомлений</w:t>
      </w:r>
      <w:r w:rsidR="00775A50">
        <w:rPr>
          <w:rFonts w:ascii="Times New Roman" w:hAnsi="Times New Roman" w:cs="Times New Roman"/>
          <w:sz w:val="28"/>
          <w:szCs w:val="28"/>
        </w:rPr>
        <w:t xml:space="preserve">. </w:t>
      </w:r>
      <w:r w:rsidR="00221BEF">
        <w:rPr>
          <w:rFonts w:ascii="Times New Roman" w:hAnsi="Times New Roman" w:cs="Times New Roman"/>
          <w:sz w:val="28"/>
          <w:szCs w:val="28"/>
        </w:rPr>
        <w:t>К</w:t>
      </w:r>
      <w:r w:rsidR="00687871">
        <w:rPr>
          <w:rFonts w:ascii="Times New Roman" w:hAnsi="Times New Roman" w:cs="Times New Roman"/>
          <w:sz w:val="28"/>
          <w:szCs w:val="28"/>
        </w:rPr>
        <w:t xml:space="preserve">аждому органу следует </w:t>
      </w:r>
      <w:r w:rsidR="008F6918">
        <w:rPr>
          <w:rFonts w:ascii="Times New Roman" w:hAnsi="Times New Roman" w:cs="Times New Roman"/>
          <w:sz w:val="28"/>
          <w:szCs w:val="28"/>
        </w:rPr>
        <w:t>своим</w:t>
      </w:r>
      <w:r w:rsidR="00687871">
        <w:rPr>
          <w:rFonts w:ascii="Times New Roman" w:hAnsi="Times New Roman" w:cs="Times New Roman"/>
          <w:sz w:val="28"/>
          <w:szCs w:val="28"/>
        </w:rPr>
        <w:t xml:space="preserve"> правовым актом определить </w:t>
      </w:r>
      <w:r w:rsidR="00775A50" w:rsidRPr="00775A50">
        <w:rPr>
          <w:rFonts w:ascii="Times New Roman" w:hAnsi="Times New Roman" w:cs="Times New Roman"/>
          <w:sz w:val="28"/>
          <w:szCs w:val="28"/>
        </w:rPr>
        <w:t>лиц</w:t>
      </w:r>
      <w:r w:rsidR="00687871">
        <w:rPr>
          <w:rFonts w:ascii="Times New Roman" w:hAnsi="Times New Roman" w:cs="Times New Roman"/>
          <w:sz w:val="28"/>
          <w:szCs w:val="28"/>
        </w:rPr>
        <w:t>, ответственных</w:t>
      </w:r>
      <w:r w:rsidR="00775A50" w:rsidRPr="00775A50">
        <w:rPr>
          <w:rFonts w:ascii="Times New Roman" w:hAnsi="Times New Roman" w:cs="Times New Roman"/>
          <w:sz w:val="28"/>
          <w:szCs w:val="28"/>
        </w:rPr>
        <w:t xml:space="preserve"> за прием уведомл</w:t>
      </w:r>
      <w:r w:rsidR="00687871">
        <w:rPr>
          <w:rFonts w:ascii="Times New Roman" w:hAnsi="Times New Roman" w:cs="Times New Roman"/>
          <w:sz w:val="28"/>
          <w:szCs w:val="28"/>
        </w:rPr>
        <w:t>ений, прием и хранение подарков</w:t>
      </w:r>
      <w:r w:rsidR="006D3903">
        <w:rPr>
          <w:rFonts w:ascii="Times New Roman" w:hAnsi="Times New Roman" w:cs="Times New Roman"/>
          <w:sz w:val="28"/>
          <w:szCs w:val="28"/>
        </w:rPr>
        <w:t xml:space="preserve"> (может быть в одном лице)</w:t>
      </w:r>
      <w:r w:rsidR="00220ACB">
        <w:rPr>
          <w:rFonts w:ascii="Times New Roman" w:hAnsi="Times New Roman" w:cs="Times New Roman"/>
          <w:sz w:val="28"/>
          <w:szCs w:val="28"/>
        </w:rPr>
        <w:t xml:space="preserve"> (далее – ответственное лицо)</w:t>
      </w:r>
      <w:r w:rsidR="00687871">
        <w:rPr>
          <w:rFonts w:ascii="Times New Roman" w:hAnsi="Times New Roman" w:cs="Times New Roman"/>
          <w:sz w:val="28"/>
          <w:szCs w:val="28"/>
        </w:rPr>
        <w:t>.</w:t>
      </w:r>
    </w:p>
    <w:p w:rsidR="00D519CE" w:rsidRPr="00D519CE" w:rsidRDefault="00D519CE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C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="004F7F06" w:rsidRPr="004F7F06">
          <w:rPr>
            <w:rFonts w:ascii="Times New Roman" w:hAnsi="Times New Roman" w:cs="Times New Roman"/>
            <w:sz w:val="28"/>
            <w:szCs w:val="28"/>
          </w:rPr>
          <w:t>пунктов 7-9</w:t>
        </w:r>
      </w:hyperlink>
      <w:r w:rsidR="008F6918">
        <w:rPr>
          <w:rFonts w:ascii="Times New Roman" w:hAnsi="Times New Roman" w:cs="Times New Roman"/>
          <w:sz w:val="28"/>
          <w:szCs w:val="28"/>
        </w:rPr>
        <w:t>Порядка</w:t>
      </w:r>
      <w:r w:rsidRPr="00D519CE">
        <w:rPr>
          <w:rFonts w:ascii="Times New Roman" w:hAnsi="Times New Roman" w:cs="Times New Roman"/>
          <w:sz w:val="28"/>
          <w:szCs w:val="28"/>
        </w:rPr>
        <w:t xml:space="preserve"> уведомление о получении подарка должно быть представлено не позднее тр</w:t>
      </w:r>
      <w:r w:rsidR="008F6918">
        <w:rPr>
          <w:rFonts w:ascii="Times New Roman" w:hAnsi="Times New Roman" w:cs="Times New Roman"/>
          <w:sz w:val="28"/>
          <w:szCs w:val="28"/>
        </w:rPr>
        <w:t>ех</w:t>
      </w:r>
      <w:r w:rsidRPr="00D519C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8F6918">
        <w:rPr>
          <w:rFonts w:ascii="Times New Roman" w:hAnsi="Times New Roman" w:cs="Times New Roman"/>
          <w:sz w:val="28"/>
          <w:szCs w:val="28"/>
        </w:rPr>
        <w:t>ей</w:t>
      </w:r>
      <w:r w:rsidRPr="00D519CE">
        <w:rPr>
          <w:rFonts w:ascii="Times New Roman" w:hAnsi="Times New Roman" w:cs="Times New Roman"/>
          <w:sz w:val="28"/>
          <w:szCs w:val="28"/>
        </w:rPr>
        <w:t xml:space="preserve"> со дня получения подарка </w:t>
      </w:r>
      <w:r w:rsidR="00220ACB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="00855430">
        <w:rPr>
          <w:rFonts w:ascii="Times New Roman" w:hAnsi="Times New Roman" w:cs="Times New Roman"/>
          <w:sz w:val="28"/>
          <w:szCs w:val="28"/>
        </w:rPr>
        <w:t>.</w:t>
      </w:r>
      <w:r w:rsidRPr="00D519CE">
        <w:rPr>
          <w:rFonts w:ascii="Times New Roman" w:hAnsi="Times New Roman" w:cs="Times New Roman"/>
          <w:sz w:val="28"/>
          <w:szCs w:val="28"/>
        </w:rPr>
        <w:t xml:space="preserve"> К уведомлению необходимо приложить документы (при их наличии), подтверждающие стоимость подарка (кассовый чек, товарный чек, иной документ об оплате (приобретении) подарка). </w:t>
      </w:r>
      <w:hyperlink r:id="rId10" w:history="1">
        <w:r w:rsidRPr="00855430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D519CE">
        <w:rPr>
          <w:rFonts w:ascii="Times New Roman" w:hAnsi="Times New Roman" w:cs="Times New Roman"/>
          <w:sz w:val="28"/>
          <w:szCs w:val="28"/>
        </w:rPr>
        <w:t xml:space="preserve"> уведомления приведена в Приложении к </w:t>
      </w:r>
      <w:r w:rsidR="008F6918">
        <w:rPr>
          <w:rFonts w:ascii="Times New Roman" w:hAnsi="Times New Roman" w:cs="Times New Roman"/>
          <w:sz w:val="28"/>
          <w:szCs w:val="28"/>
        </w:rPr>
        <w:t>Порядку</w:t>
      </w:r>
      <w:r w:rsidR="00855430">
        <w:rPr>
          <w:rFonts w:ascii="Times New Roman" w:hAnsi="Times New Roman" w:cs="Times New Roman"/>
          <w:sz w:val="28"/>
          <w:szCs w:val="28"/>
        </w:rPr>
        <w:t xml:space="preserve">, аналогичную форму следует утвердить в </w:t>
      </w:r>
      <w:r w:rsidR="008F6918">
        <w:rPr>
          <w:rFonts w:ascii="Times New Roman" w:hAnsi="Times New Roman" w:cs="Times New Roman"/>
          <w:sz w:val="28"/>
          <w:szCs w:val="28"/>
        </w:rPr>
        <w:t>правовом акте органа</w:t>
      </w:r>
      <w:r w:rsidRPr="00D519CE">
        <w:rPr>
          <w:rFonts w:ascii="Times New Roman" w:hAnsi="Times New Roman" w:cs="Times New Roman"/>
          <w:sz w:val="28"/>
          <w:szCs w:val="28"/>
        </w:rPr>
        <w:t xml:space="preserve">. Данное уведомление составляется в двух экземплярах, один из которых возвращается лицу, представившему уведомление, с отметкой о регистрации, а другой </w:t>
      </w:r>
      <w:r w:rsidR="00635BE3">
        <w:rPr>
          <w:rFonts w:ascii="Times New Roman" w:hAnsi="Times New Roman" w:cs="Times New Roman"/>
          <w:sz w:val="28"/>
          <w:szCs w:val="28"/>
        </w:rPr>
        <w:t>–</w:t>
      </w:r>
      <w:r w:rsidRPr="00D519CE">
        <w:rPr>
          <w:rFonts w:ascii="Times New Roman" w:hAnsi="Times New Roman" w:cs="Times New Roman"/>
          <w:sz w:val="28"/>
          <w:szCs w:val="28"/>
        </w:rPr>
        <w:t xml:space="preserve"> направляется в комиссию по поступлению и выбытию активов государственного органа, образованн</w:t>
      </w:r>
      <w:r w:rsidR="00855430">
        <w:rPr>
          <w:rFonts w:ascii="Times New Roman" w:hAnsi="Times New Roman" w:cs="Times New Roman"/>
          <w:sz w:val="28"/>
          <w:szCs w:val="28"/>
        </w:rPr>
        <w:t>ую</w:t>
      </w:r>
      <w:r w:rsidRPr="00D519CE">
        <w:rPr>
          <w:rFonts w:ascii="Times New Roman" w:hAnsi="Times New Roman" w:cs="Times New Roman"/>
          <w:sz w:val="28"/>
          <w:szCs w:val="28"/>
        </w:rPr>
        <w:t xml:space="preserve"> согласно законодательству о бухгалтерском учете.</w:t>
      </w:r>
    </w:p>
    <w:p w:rsidR="00635BE3" w:rsidRDefault="00635BE3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519CE" w:rsidRPr="00D519CE">
        <w:rPr>
          <w:rFonts w:ascii="Times New Roman" w:hAnsi="Times New Roman" w:cs="Times New Roman"/>
          <w:sz w:val="28"/>
          <w:szCs w:val="28"/>
        </w:rPr>
        <w:t xml:space="preserve">сли подарок получен во время служебной командировки, уведомление представляется не позднее </w:t>
      </w:r>
      <w:r w:rsidR="008F6918">
        <w:rPr>
          <w:rFonts w:ascii="Times New Roman" w:hAnsi="Times New Roman" w:cs="Times New Roman"/>
          <w:sz w:val="28"/>
          <w:szCs w:val="28"/>
        </w:rPr>
        <w:t>трех рабочих дней</w:t>
      </w:r>
      <w:r w:rsidR="00D519CE" w:rsidRPr="00D519CE">
        <w:rPr>
          <w:rFonts w:ascii="Times New Roman" w:hAnsi="Times New Roman" w:cs="Times New Roman"/>
          <w:sz w:val="28"/>
          <w:szCs w:val="28"/>
        </w:rPr>
        <w:t xml:space="preserve"> со дня возвращения лица, получившего под</w:t>
      </w:r>
      <w:r>
        <w:rPr>
          <w:rFonts w:ascii="Times New Roman" w:hAnsi="Times New Roman" w:cs="Times New Roman"/>
          <w:sz w:val="28"/>
          <w:szCs w:val="28"/>
        </w:rPr>
        <w:t>арок, из служебной командировки.</w:t>
      </w:r>
    </w:p>
    <w:p w:rsidR="00D519CE" w:rsidRPr="00D519CE" w:rsidRDefault="00635BE3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9CE" w:rsidRPr="00D519CE">
        <w:rPr>
          <w:rFonts w:ascii="Times New Roman" w:hAnsi="Times New Roman" w:cs="Times New Roman"/>
          <w:sz w:val="28"/>
          <w:szCs w:val="28"/>
        </w:rPr>
        <w:t>ри невозможности подачи уведомления в установленные сроки</w:t>
      </w:r>
      <w:r>
        <w:rPr>
          <w:rFonts w:ascii="Times New Roman" w:hAnsi="Times New Roman" w:cs="Times New Roman"/>
          <w:sz w:val="28"/>
          <w:szCs w:val="28"/>
        </w:rPr>
        <w:br/>
      </w:r>
      <w:r w:rsidR="00D519CE" w:rsidRPr="00D519CE">
        <w:rPr>
          <w:rFonts w:ascii="Times New Roman" w:hAnsi="Times New Roman" w:cs="Times New Roman"/>
          <w:sz w:val="28"/>
          <w:szCs w:val="28"/>
        </w:rPr>
        <w:t xml:space="preserve">(не позднее </w:t>
      </w:r>
      <w:r w:rsidR="00085FDB">
        <w:rPr>
          <w:rFonts w:ascii="Times New Roman" w:hAnsi="Times New Roman" w:cs="Times New Roman"/>
          <w:sz w:val="28"/>
          <w:szCs w:val="28"/>
        </w:rPr>
        <w:t>трех рабочих дней</w:t>
      </w:r>
      <w:r w:rsidR="00D519CE" w:rsidRPr="00D519CE">
        <w:rPr>
          <w:rFonts w:ascii="Times New Roman" w:hAnsi="Times New Roman" w:cs="Times New Roman"/>
          <w:sz w:val="28"/>
          <w:szCs w:val="28"/>
        </w:rPr>
        <w:t xml:space="preserve"> со дня получения подарка либо не позднее </w:t>
      </w:r>
      <w:r w:rsidR="00085FDB">
        <w:rPr>
          <w:rFonts w:ascii="Times New Roman" w:hAnsi="Times New Roman" w:cs="Times New Roman"/>
          <w:sz w:val="28"/>
          <w:szCs w:val="28"/>
        </w:rPr>
        <w:t>трех</w:t>
      </w:r>
      <w:r w:rsidR="00D519CE" w:rsidRPr="00D519C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085FDB">
        <w:rPr>
          <w:rFonts w:ascii="Times New Roman" w:hAnsi="Times New Roman" w:cs="Times New Roman"/>
          <w:sz w:val="28"/>
          <w:szCs w:val="28"/>
        </w:rPr>
        <w:t>ей</w:t>
      </w:r>
      <w:r w:rsidR="00D519CE" w:rsidRPr="00D519CE">
        <w:rPr>
          <w:rFonts w:ascii="Times New Roman" w:hAnsi="Times New Roman" w:cs="Times New Roman"/>
          <w:sz w:val="28"/>
          <w:szCs w:val="28"/>
        </w:rPr>
        <w:t xml:space="preserve"> со дня возвращения лица, получившего подарок, из служебной командировки) по причине, не зависящей от </w:t>
      </w:r>
      <w:r>
        <w:rPr>
          <w:rFonts w:ascii="Times New Roman" w:hAnsi="Times New Roman" w:cs="Times New Roman"/>
          <w:sz w:val="28"/>
          <w:szCs w:val="28"/>
        </w:rPr>
        <w:t>служащего</w:t>
      </w:r>
      <w:r w:rsidR="00D519CE" w:rsidRPr="00D519CE">
        <w:rPr>
          <w:rFonts w:ascii="Times New Roman" w:hAnsi="Times New Roman" w:cs="Times New Roman"/>
          <w:sz w:val="28"/>
          <w:szCs w:val="28"/>
        </w:rPr>
        <w:t xml:space="preserve">, </w:t>
      </w:r>
      <w:r w:rsidR="00DC33D1">
        <w:rPr>
          <w:rFonts w:ascii="Times New Roman" w:hAnsi="Times New Roman" w:cs="Times New Roman"/>
          <w:sz w:val="28"/>
          <w:szCs w:val="28"/>
        </w:rPr>
        <w:t>уведомление</w:t>
      </w:r>
      <w:r w:rsidR="00D519CE" w:rsidRPr="00D519CE">
        <w:rPr>
          <w:rFonts w:ascii="Times New Roman" w:hAnsi="Times New Roman" w:cs="Times New Roman"/>
          <w:sz w:val="28"/>
          <w:szCs w:val="28"/>
        </w:rPr>
        <w:t xml:space="preserve"> представляется не позднее сле</w:t>
      </w:r>
      <w:r>
        <w:rPr>
          <w:rFonts w:ascii="Times New Roman" w:hAnsi="Times New Roman" w:cs="Times New Roman"/>
          <w:sz w:val="28"/>
          <w:szCs w:val="28"/>
        </w:rPr>
        <w:t>дующего дня после ее устранения.</w:t>
      </w:r>
    </w:p>
    <w:p w:rsidR="00D519CE" w:rsidRPr="00D519CE" w:rsidRDefault="00635BE3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519CE" w:rsidRPr="00D519CE">
        <w:rPr>
          <w:rFonts w:ascii="Times New Roman" w:hAnsi="Times New Roman" w:cs="Times New Roman"/>
          <w:sz w:val="28"/>
          <w:szCs w:val="28"/>
        </w:rPr>
        <w:t>сли стоимость подарка превышает 3000 руб</w:t>
      </w:r>
      <w:r w:rsidR="00EF6771">
        <w:rPr>
          <w:rFonts w:ascii="Times New Roman" w:hAnsi="Times New Roman" w:cs="Times New Roman"/>
          <w:sz w:val="28"/>
          <w:szCs w:val="28"/>
        </w:rPr>
        <w:t>лей</w:t>
      </w:r>
      <w:r w:rsidR="00D519CE" w:rsidRPr="00D519CE">
        <w:rPr>
          <w:rFonts w:ascii="Times New Roman" w:hAnsi="Times New Roman" w:cs="Times New Roman"/>
          <w:sz w:val="28"/>
          <w:szCs w:val="28"/>
        </w:rPr>
        <w:t xml:space="preserve"> и это подтверждается документами либо если </w:t>
      </w:r>
      <w:r>
        <w:rPr>
          <w:rFonts w:ascii="Times New Roman" w:hAnsi="Times New Roman" w:cs="Times New Roman"/>
          <w:sz w:val="28"/>
          <w:szCs w:val="28"/>
        </w:rPr>
        <w:t>служащему</w:t>
      </w:r>
      <w:r w:rsidR="00D519CE" w:rsidRPr="00D519CE">
        <w:rPr>
          <w:rFonts w:ascii="Times New Roman" w:hAnsi="Times New Roman" w:cs="Times New Roman"/>
          <w:sz w:val="28"/>
          <w:szCs w:val="28"/>
        </w:rPr>
        <w:t xml:space="preserve"> неизвестна стоимость подарка, то подарок сдается ответственному лицу, которое принимает его на хранение по акту приема-передачи не позднее пят</w:t>
      </w:r>
      <w:r w:rsidR="00DC33D1">
        <w:rPr>
          <w:rFonts w:ascii="Times New Roman" w:hAnsi="Times New Roman" w:cs="Times New Roman"/>
          <w:sz w:val="28"/>
          <w:szCs w:val="28"/>
        </w:rPr>
        <w:t>и</w:t>
      </w:r>
      <w:r w:rsidR="00D519CE" w:rsidRPr="00D519C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уведомления в соответствующем журнале регистрации</w:t>
      </w:r>
      <w:r w:rsidR="00221BEF">
        <w:rPr>
          <w:rFonts w:ascii="Times New Roman" w:hAnsi="Times New Roman" w:cs="Times New Roman"/>
          <w:sz w:val="28"/>
          <w:szCs w:val="28"/>
        </w:rPr>
        <w:t xml:space="preserve">. Форма акта приема-передачи также приведена в </w:t>
      </w:r>
      <w:r w:rsidR="00652002">
        <w:rPr>
          <w:rFonts w:ascii="Times New Roman" w:hAnsi="Times New Roman" w:cs="Times New Roman"/>
          <w:sz w:val="28"/>
          <w:szCs w:val="28"/>
        </w:rPr>
        <w:t>Приложении к Порядку</w:t>
      </w:r>
      <w:r w:rsidR="00221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9CE" w:rsidRDefault="00320DB7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9CE" w:rsidRPr="00D519CE">
        <w:rPr>
          <w:rFonts w:ascii="Times New Roman" w:hAnsi="Times New Roman" w:cs="Times New Roman"/>
          <w:sz w:val="28"/>
          <w:szCs w:val="28"/>
        </w:rPr>
        <w:t>одарок, полученный лицом, замещающим государственную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D519CE" w:rsidRPr="00D519CE">
        <w:rPr>
          <w:rFonts w:ascii="Times New Roman" w:hAnsi="Times New Roman" w:cs="Times New Roman"/>
          <w:sz w:val="28"/>
          <w:szCs w:val="28"/>
        </w:rPr>
        <w:t>, независимо от своей стоимости подлежит передаче на хранение.</w:t>
      </w:r>
    </w:p>
    <w:p w:rsidR="00EF6771" w:rsidRDefault="00EF6771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9CE" w:rsidRDefault="00B2109B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D519CE" w:rsidRPr="00D519CE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согласно законодательству Р</w:t>
      </w:r>
      <w:r w:rsidR="00EF677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519CE" w:rsidRPr="00D519CE">
        <w:rPr>
          <w:rFonts w:ascii="Times New Roman" w:hAnsi="Times New Roman" w:cs="Times New Roman"/>
          <w:sz w:val="28"/>
          <w:szCs w:val="28"/>
        </w:rPr>
        <w:t xml:space="preserve"> за утрату или повреждение подарка несет лицо, получившее подарок</w:t>
      </w:r>
      <w:r w:rsidR="002A2574">
        <w:rPr>
          <w:rFonts w:ascii="Times New Roman" w:hAnsi="Times New Roman" w:cs="Times New Roman"/>
          <w:sz w:val="28"/>
          <w:szCs w:val="28"/>
        </w:rPr>
        <w:t xml:space="preserve"> (пункт 12 Указа </w:t>
      </w:r>
      <w:r w:rsidR="00FE296F">
        <w:rPr>
          <w:rFonts w:ascii="Times New Roman" w:hAnsi="Times New Roman" w:cs="Times New Roman"/>
          <w:sz w:val="28"/>
          <w:szCs w:val="28"/>
        </w:rPr>
        <w:t>Порядка</w:t>
      </w:r>
      <w:r w:rsidR="002A2574">
        <w:rPr>
          <w:rFonts w:ascii="Times New Roman" w:hAnsi="Times New Roman" w:cs="Times New Roman"/>
          <w:sz w:val="28"/>
          <w:szCs w:val="28"/>
        </w:rPr>
        <w:t>)</w:t>
      </w:r>
      <w:r w:rsidR="00D519CE" w:rsidRPr="00D519CE">
        <w:rPr>
          <w:rFonts w:ascii="Times New Roman" w:hAnsi="Times New Roman" w:cs="Times New Roman"/>
          <w:sz w:val="28"/>
          <w:szCs w:val="28"/>
        </w:rPr>
        <w:t>.</w:t>
      </w:r>
    </w:p>
    <w:p w:rsidR="00BD41D0" w:rsidRDefault="00893AE3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22A75" w:rsidRPr="00B22A7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22A7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FE296F">
        <w:rPr>
          <w:rFonts w:ascii="Times New Roman" w:hAnsi="Times New Roman" w:cs="Times New Roman"/>
          <w:sz w:val="28"/>
          <w:szCs w:val="28"/>
        </w:rPr>
        <w:t>Порядка</w:t>
      </w:r>
      <w:r w:rsidR="00B22A75" w:rsidRPr="00B22A75">
        <w:rPr>
          <w:rFonts w:ascii="Times New Roman" w:hAnsi="Times New Roman" w:cs="Times New Roman"/>
          <w:sz w:val="28"/>
          <w:szCs w:val="28"/>
        </w:rPr>
        <w:t xml:space="preserve"> установлено, что для принятия к бухгалтерскому учету подарка в порядке, установленном законодательством </w:t>
      </w:r>
      <w:r w:rsidR="00EF6771" w:rsidRPr="00D519CE">
        <w:rPr>
          <w:rFonts w:ascii="Times New Roman" w:hAnsi="Times New Roman" w:cs="Times New Roman"/>
          <w:sz w:val="28"/>
          <w:szCs w:val="28"/>
        </w:rPr>
        <w:t>Р</w:t>
      </w:r>
      <w:r w:rsidR="00EF677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22A75" w:rsidRPr="00B22A75">
        <w:rPr>
          <w:rFonts w:ascii="Times New Roman" w:hAnsi="Times New Roman" w:cs="Times New Roman"/>
          <w:sz w:val="28"/>
          <w:szCs w:val="28"/>
        </w:rPr>
        <w:t>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 w:rsidR="005C44B6" w:rsidRPr="005C44B6">
        <w:rPr>
          <w:rFonts w:ascii="Times New Roman" w:hAnsi="Times New Roman" w:cs="Times New Roman"/>
          <w:sz w:val="28"/>
          <w:szCs w:val="28"/>
        </w:rPr>
        <w:t>по поступлению и выбытию активов</w:t>
      </w:r>
      <w:r w:rsidR="009A48D8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B22A75" w:rsidRPr="00B22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771" w:rsidRDefault="00EF6771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73E" w:rsidRDefault="003B65F0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! </w:t>
      </w:r>
      <w:r w:rsidR="003C473E">
        <w:rPr>
          <w:rFonts w:ascii="Times New Roman" w:hAnsi="Times New Roman" w:cs="Times New Roman"/>
          <w:sz w:val="28"/>
          <w:szCs w:val="28"/>
        </w:rPr>
        <w:t xml:space="preserve">Следует заметить, что оценка стоимости подарка осуществляется комиссией </w:t>
      </w:r>
      <w:r w:rsidR="003C473E" w:rsidRPr="003C473E">
        <w:rPr>
          <w:rFonts w:ascii="Times New Roman" w:hAnsi="Times New Roman" w:cs="Times New Roman"/>
          <w:b/>
          <w:i/>
          <w:sz w:val="28"/>
          <w:szCs w:val="28"/>
        </w:rPr>
        <w:t>только</w:t>
      </w:r>
      <w:r w:rsidR="003C473E">
        <w:rPr>
          <w:rFonts w:ascii="Times New Roman" w:hAnsi="Times New Roman" w:cs="Times New Roman"/>
          <w:sz w:val="28"/>
          <w:szCs w:val="28"/>
        </w:rPr>
        <w:t xml:space="preserve"> в целях приняти</w:t>
      </w:r>
      <w:r w:rsidR="00233074">
        <w:rPr>
          <w:rFonts w:ascii="Times New Roman" w:hAnsi="Times New Roman" w:cs="Times New Roman"/>
          <w:sz w:val="28"/>
          <w:szCs w:val="28"/>
        </w:rPr>
        <w:t>я</w:t>
      </w:r>
      <w:r w:rsidR="003C473E">
        <w:rPr>
          <w:rFonts w:ascii="Times New Roman" w:hAnsi="Times New Roman" w:cs="Times New Roman"/>
          <w:sz w:val="28"/>
          <w:szCs w:val="28"/>
        </w:rPr>
        <w:t xml:space="preserve"> его к бухгалтерскому учету. Также указанной оценки достаточно, если комиссия примет решения о том, что подарок стоит менее 3000 рублей и подлежит возврату получившему его служащему. </w:t>
      </w:r>
    </w:p>
    <w:p w:rsidR="00EA1413" w:rsidRDefault="003C473E" w:rsidP="00055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33074">
        <w:rPr>
          <w:rFonts w:ascii="Times New Roman" w:hAnsi="Times New Roman" w:cs="Times New Roman"/>
          <w:b/>
          <w:i/>
          <w:sz w:val="28"/>
          <w:szCs w:val="28"/>
        </w:rPr>
        <w:t>выкупа</w:t>
      </w:r>
      <w:r>
        <w:rPr>
          <w:rFonts w:ascii="Times New Roman" w:hAnsi="Times New Roman" w:cs="Times New Roman"/>
          <w:sz w:val="28"/>
          <w:szCs w:val="28"/>
        </w:rPr>
        <w:t xml:space="preserve"> подарка служащим и</w:t>
      </w:r>
      <w:r w:rsidR="0023248B">
        <w:rPr>
          <w:rFonts w:ascii="Times New Roman" w:hAnsi="Times New Roman" w:cs="Times New Roman"/>
          <w:sz w:val="28"/>
          <w:szCs w:val="28"/>
        </w:rPr>
        <w:t xml:space="preserve"> его</w:t>
      </w:r>
      <w:r w:rsidRPr="00233074">
        <w:rPr>
          <w:rFonts w:ascii="Times New Roman" w:hAnsi="Times New Roman" w:cs="Times New Roman"/>
          <w:b/>
          <w:i/>
          <w:sz w:val="28"/>
          <w:szCs w:val="28"/>
        </w:rPr>
        <w:t>реализации</w:t>
      </w:r>
      <w:r w:rsidR="003B65F0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23248B">
        <w:rPr>
          <w:rFonts w:ascii="Times New Roman" w:hAnsi="Times New Roman" w:cs="Times New Roman"/>
          <w:sz w:val="28"/>
          <w:szCs w:val="28"/>
        </w:rPr>
        <w:t xml:space="preserve">органом оценка его стоимости производится </w:t>
      </w:r>
      <w:r w:rsidR="009D7168">
        <w:rPr>
          <w:rFonts w:ascii="Times New Roman" w:hAnsi="Times New Roman" w:cs="Times New Roman"/>
          <w:sz w:val="28"/>
          <w:szCs w:val="28"/>
        </w:rPr>
        <w:t>субъектами оценочной деятельности.</w:t>
      </w:r>
    </w:p>
    <w:p w:rsidR="00BD41D0" w:rsidRDefault="00BD41D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055C14">
        <w:t xml:space="preserve">Комиссия </w:t>
      </w:r>
      <w:r w:rsidR="00EA1413" w:rsidRPr="00055C14">
        <w:t>осуществляет свою деятельность</w:t>
      </w:r>
      <w:r w:rsidRPr="00055C14">
        <w:t xml:space="preserve"> в соответствии с </w:t>
      </w:r>
      <w:hyperlink r:id="rId12" w:history="1">
        <w:r w:rsidRPr="00055C14">
          <w:t>Инструкцией</w:t>
        </w:r>
      </w:hyperlink>
      <w:r w:rsidRPr="00055C14">
        <w:t xml:space="preserve"> по применению Единого плана счетов бухгалтерского</w:t>
      </w:r>
      <w:r w:rsidRPr="002A6B65">
        <w:t xml:space="preserve">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</w:t>
      </w:r>
      <w:r w:rsidR="00FF543D">
        <w:t>0</w:t>
      </w:r>
      <w:r w:rsidRPr="002A6B65">
        <w:t>1</w:t>
      </w:r>
      <w:r w:rsidR="00FF543D">
        <w:t>.12.</w:t>
      </w:r>
      <w:r w:rsidRPr="002A6B65">
        <w:t xml:space="preserve">2010 </w:t>
      </w:r>
      <w:r>
        <w:t>№ </w:t>
      </w:r>
      <w:r w:rsidRPr="002A6B65">
        <w:t xml:space="preserve">157н (далее </w:t>
      </w:r>
      <w:r w:rsidRPr="00BD550D">
        <w:t>–</w:t>
      </w:r>
      <w:r w:rsidRPr="002A6B65">
        <w:t xml:space="preserve">Инструкция </w:t>
      </w:r>
      <w:r>
        <w:t>№ </w:t>
      </w:r>
      <w:r w:rsidRPr="002A6B65">
        <w:t>157н), в целях обеспечения своевременной приемки и выбытия основных средств, нематериальных активов и списания материальных запасов и действует на постоянной основе.</w:t>
      </w:r>
    </w:p>
    <w:p w:rsidR="00BD41D0" w:rsidRPr="00FF543D" w:rsidRDefault="00BD41D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FF543D">
        <w:t xml:space="preserve">Состав </w:t>
      </w:r>
      <w:r w:rsidR="00FF543D" w:rsidRPr="00FF543D">
        <w:t>и положение о к</w:t>
      </w:r>
      <w:r w:rsidRPr="00FF543D">
        <w:t xml:space="preserve">омиссии утверждается правовым актом органа, в котором она создается. </w:t>
      </w:r>
    </w:p>
    <w:p w:rsidR="00BD41D0" w:rsidRPr="00FF543D" w:rsidRDefault="00BD41D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bookmarkStart w:id="1" w:name="Par60"/>
      <w:bookmarkEnd w:id="1"/>
      <w:r w:rsidRPr="00FF543D">
        <w:t xml:space="preserve">В своей деятельности </w:t>
      </w:r>
      <w:r w:rsidR="00FF543D">
        <w:t>к</w:t>
      </w:r>
      <w:r w:rsidRPr="00FF543D">
        <w:t>омиссия руководствуется следующими нормативными правовыми актами:</w:t>
      </w:r>
    </w:p>
    <w:p w:rsidR="00BD41D0" w:rsidRPr="00D14F59" w:rsidRDefault="00BD41D0" w:rsidP="00C164AB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D14F59">
        <w:t>- Федеральным законом от 06</w:t>
      </w:r>
      <w:r w:rsidR="008D1C77">
        <w:t xml:space="preserve"> декабря </w:t>
      </w:r>
      <w:r w:rsidRPr="00D14F59">
        <w:t>2011</w:t>
      </w:r>
      <w:r w:rsidR="008D1C77">
        <w:t xml:space="preserve"> года</w:t>
      </w:r>
      <w:r w:rsidRPr="00D14F59">
        <w:t xml:space="preserve"> № 402-ФЗ</w:t>
      </w:r>
      <w:r w:rsidR="00C164AB">
        <w:br/>
      </w:r>
      <w:r w:rsidRPr="00D14F59">
        <w:t>«О бухгалтерском учете»;</w:t>
      </w:r>
    </w:p>
    <w:p w:rsidR="00BD41D0" w:rsidRPr="00D14F59" w:rsidRDefault="00BD41D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D14F59">
        <w:t xml:space="preserve">- </w:t>
      </w:r>
      <w:hyperlink r:id="rId13" w:history="1">
        <w:r w:rsidRPr="00D14F59">
          <w:t>Постановлением</w:t>
        </w:r>
      </w:hyperlink>
      <w:r w:rsidRPr="00D14F59">
        <w:t xml:space="preserve"> Правительства Российской Федерации от 01.01.2002</w:t>
      </w:r>
      <w:r w:rsidR="00C164AB">
        <w:br/>
      </w:r>
      <w:r w:rsidRPr="00D14F59">
        <w:t>№ 1 «О Классификации основных средств, включаемых в амортизационные группы»;</w:t>
      </w:r>
    </w:p>
    <w:p w:rsidR="00BD41D0" w:rsidRPr="00D14F59" w:rsidRDefault="00BD41D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D14F59">
        <w:t xml:space="preserve">- </w:t>
      </w:r>
      <w:r w:rsidR="008D1C77" w:rsidRPr="002A6B65">
        <w:t>Инструкци</w:t>
      </w:r>
      <w:r w:rsidR="008D1C77">
        <w:t>ей№ </w:t>
      </w:r>
      <w:r w:rsidR="008D1C77" w:rsidRPr="002A6B65">
        <w:t>157н</w:t>
      </w:r>
      <w:r w:rsidR="0075434E">
        <w:t xml:space="preserve"> (указанной выше)</w:t>
      </w:r>
      <w:r w:rsidRPr="00D14F59">
        <w:t>;</w:t>
      </w:r>
    </w:p>
    <w:p w:rsidR="00BD41D0" w:rsidRPr="00D14F59" w:rsidRDefault="00BD41D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D14F59">
        <w:t>- приказом Министерства финансов Российской Федерации от 06.12.2010</w:t>
      </w:r>
      <w:r w:rsidR="00C164AB">
        <w:br/>
      </w:r>
      <w:r w:rsidRPr="00D14F59">
        <w:t>№ 162н «Об утверждении Плана счетов бюджетного учета и Инструкции по его применению»;</w:t>
      </w:r>
    </w:p>
    <w:p w:rsidR="00BD41D0" w:rsidRPr="00D14F59" w:rsidRDefault="00BD41D0" w:rsidP="00055C14">
      <w:pPr>
        <w:pStyle w:val="4"/>
        <w:shd w:val="clear" w:color="auto" w:fill="auto"/>
        <w:tabs>
          <w:tab w:val="left" w:pos="1226"/>
        </w:tabs>
        <w:spacing w:line="240" w:lineRule="auto"/>
        <w:ind w:right="40" w:firstLine="709"/>
      </w:pPr>
      <w:r w:rsidRPr="00D14F59">
        <w:t xml:space="preserve">- приказом Министерства финансов Российской Федерации </w:t>
      </w:r>
      <w:r w:rsidRPr="00D14F59">
        <w:br/>
        <w:t>от 15.12.2010 № </w:t>
      </w:r>
      <w:r w:rsidR="00D14F59" w:rsidRPr="00D14F59">
        <w:t>1</w:t>
      </w:r>
      <w:r w:rsidRPr="00D14F59">
        <w:t>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BD41D0" w:rsidRPr="00D14F59" w:rsidRDefault="00BD41D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D14F59">
        <w:t>- общероссийским классификатором основных фондов, утвержденным Постановлением Комитета Российской Федерации по стандартизации, метрологии и сертификации от 26.12.1994 № 359;</w:t>
      </w:r>
    </w:p>
    <w:p w:rsidR="00BD41D0" w:rsidRPr="00D14F59" w:rsidRDefault="00BD41D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D14F59">
        <w:t>- постановлением Госкомстата России от 21.01.2003 № 7 «Об утверждении унифицированных форм первичной учетной документации по учету основных средств»;</w:t>
      </w:r>
    </w:p>
    <w:p w:rsidR="00BD41D0" w:rsidRPr="00D14F59" w:rsidRDefault="00BD41D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D14F59">
        <w:lastRenderedPageBreak/>
        <w:t>- постановлением Правительства</w:t>
      </w:r>
      <w:r w:rsidR="00C164AB">
        <w:t xml:space="preserve"> Свердловской области от 26.12.2</w:t>
      </w:r>
      <w:r w:rsidRPr="00D14F59">
        <w:t>012 № 1589-ПП «Об утверждении положения о списании государственного имущества Свердловской области»;</w:t>
      </w:r>
    </w:p>
    <w:p w:rsidR="00BD41D0" w:rsidRPr="00D14F59" w:rsidRDefault="00BD41D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D14F59">
        <w:t>- иным</w:t>
      </w:r>
      <w:r w:rsidR="004458FF">
        <w:t>и нормативными правовыми актами</w:t>
      </w:r>
      <w:r w:rsidRPr="00D14F59">
        <w:t>.</w:t>
      </w:r>
    </w:p>
    <w:p w:rsidR="00FF543D" w:rsidRPr="00FF543D" w:rsidRDefault="00FF543D" w:rsidP="00735BA8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FF543D">
        <w:t>Для примера приведем Приказ Управления делами Губернатора Свердловской области и Правительства Свердловской области от 15.07.2013 № 85 «О создании комиссии по поступлению и выбытию нефинансовых активов Управления делами Губернатора Свердловской области и Правительства Свердловской области»</w:t>
      </w:r>
      <w:r>
        <w:t>.</w:t>
      </w:r>
      <w:r w:rsidRPr="00FF543D">
        <w:t xml:space="preserve"> Комиссию</w:t>
      </w:r>
      <w:r w:rsidR="00735BA8" w:rsidRPr="00FF543D">
        <w:t>по поступлению и выбытию нефинансовых активов</w:t>
      </w:r>
      <w:r w:rsidR="00735BA8">
        <w:t xml:space="preserve"> (далее – </w:t>
      </w:r>
      <w:r w:rsidR="00224DD6">
        <w:t>к</w:t>
      </w:r>
      <w:r w:rsidR="00735BA8">
        <w:t>омиссия)</w:t>
      </w:r>
      <w:r w:rsidRPr="00FF543D">
        <w:t xml:space="preserve"> возглавляет председатель, который осуществляет общее руководство деятельностью </w:t>
      </w:r>
      <w:r w:rsidR="00DD18A6">
        <w:t>к</w:t>
      </w:r>
      <w:r w:rsidRPr="00FF543D">
        <w:t xml:space="preserve">омиссии, обеспечивает коллегиальность в обсуждении спорных вопросов, распределяет обязанности и дает поручения членам </w:t>
      </w:r>
      <w:r>
        <w:t>к</w:t>
      </w:r>
      <w:r w:rsidRPr="00FF543D">
        <w:t>омиссии.</w:t>
      </w:r>
    </w:p>
    <w:p w:rsidR="00FF543D" w:rsidRDefault="00FF543D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FF543D">
        <w:t xml:space="preserve">Комиссия проводит заседания по мере необходимости. </w:t>
      </w:r>
      <w:r>
        <w:t>Заседания</w:t>
      </w:r>
      <w:r w:rsidR="00DD18A6">
        <w:t>к</w:t>
      </w:r>
      <w:r w:rsidRPr="00FF543D">
        <w:t xml:space="preserve">омиссии считаются правомочными, если на </w:t>
      </w:r>
      <w:r>
        <w:t>них</w:t>
      </w:r>
      <w:r w:rsidR="00DD18A6">
        <w:t>присутствует не менее двух третей</w:t>
      </w:r>
      <w:r w:rsidRPr="00FF543D">
        <w:t xml:space="preserve"> от общего числа ее членов.</w:t>
      </w:r>
      <w:r>
        <w:t xml:space="preserve"> Решение комиссии принимается простым большинством</w:t>
      </w:r>
      <w:r w:rsidR="00A742B5">
        <w:t xml:space="preserve"> голосов</w:t>
      </w:r>
      <w:r>
        <w:t>.</w:t>
      </w:r>
    </w:p>
    <w:p w:rsidR="00FF543D" w:rsidRPr="00FF543D" w:rsidRDefault="00FF543D" w:rsidP="00055C14">
      <w:pPr>
        <w:widowControl w:val="0"/>
        <w:autoSpaceDE w:val="0"/>
        <w:autoSpaceDN w:val="0"/>
        <w:adjustRightInd w:val="0"/>
        <w:ind w:firstLine="709"/>
        <w:jc w:val="both"/>
      </w:pPr>
      <w:r w:rsidRPr="00FF543D">
        <w:t xml:space="preserve">Срок рассмотрения </w:t>
      </w:r>
      <w:r>
        <w:t>к</w:t>
      </w:r>
      <w:r w:rsidRPr="00FF543D">
        <w:t>омиссией представленных ей на рассмотрение документов не должен превышать 14 дней.</w:t>
      </w:r>
    </w:p>
    <w:p w:rsidR="00BD41D0" w:rsidRPr="00D14F59" w:rsidRDefault="00DD18A6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>
        <w:t>Назначением</w:t>
      </w:r>
      <w:r w:rsidR="00D14F59" w:rsidRPr="00D14F59">
        <w:t xml:space="preserve"> работы к</w:t>
      </w:r>
      <w:r w:rsidR="00BD41D0" w:rsidRPr="00D14F59">
        <w:t>омиссии является принятие коллегиальных решений</w:t>
      </w:r>
      <w:r w:rsidR="003E3FBF">
        <w:t>,</w:t>
      </w:r>
      <w:r w:rsidR="00D14F59" w:rsidRPr="00D14F59">
        <w:t>в частности, об определении стоимости нефинансовых активов в целях их принятия к бухгалтерскому учету.</w:t>
      </w:r>
    </w:p>
    <w:p w:rsidR="00BD41D0" w:rsidRPr="00D14F59" w:rsidRDefault="00BD41D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D14F59">
        <w:t>Комиссия для решения возложенных задач вправе:</w:t>
      </w:r>
    </w:p>
    <w:p w:rsidR="00BD41D0" w:rsidRPr="00D14F59" w:rsidRDefault="00BD41D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D14F59">
        <w:t>- запрашивать и получать в установленном порядке необходимую информацию и материалы от структурных подразделений</w:t>
      </w:r>
      <w:r w:rsidR="00D14F59">
        <w:t xml:space="preserve"> государственного органа</w:t>
      </w:r>
      <w:r w:rsidR="00DD1E5C">
        <w:t>, в котором создана</w:t>
      </w:r>
      <w:r w:rsidRPr="00D14F59">
        <w:t xml:space="preserve">; </w:t>
      </w:r>
    </w:p>
    <w:p w:rsidR="00BD41D0" w:rsidRPr="00D14F59" w:rsidRDefault="00BD41D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D14F59">
        <w:t>- приглашать на свои заседания должностных лиц, экспертов, представителей организаций;</w:t>
      </w:r>
    </w:p>
    <w:p w:rsidR="00BD41D0" w:rsidRDefault="00BD41D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D14F59">
        <w:t xml:space="preserve">- при необходимости привлекать экспертов для оценки первоначальной стоимости и текущей рыночной стоимости нефинансовых активов. Эксперты представляют в </w:t>
      </w:r>
      <w:r w:rsidR="00D14F59" w:rsidRPr="00D14F59">
        <w:t>к</w:t>
      </w:r>
      <w:r w:rsidRPr="00D14F59">
        <w:t xml:space="preserve">омиссию свои экспертные заключения по вопросам, поставленным перед ними </w:t>
      </w:r>
      <w:r w:rsidR="00D14F59" w:rsidRPr="00D14F59">
        <w:t>к</w:t>
      </w:r>
      <w:r w:rsidRPr="00D14F59">
        <w:t>омиссией</w:t>
      </w:r>
      <w:r w:rsidR="00D14F59" w:rsidRPr="00D14F59">
        <w:t>.</w:t>
      </w:r>
      <w:r w:rsidRPr="00D14F59">
        <w:t xml:space="preserve"> Мнение эксперта, изложенное в экспертном заключении, носит рекомендательный характер.</w:t>
      </w:r>
    </w:p>
    <w:p w:rsidR="00E61C5F" w:rsidRPr="00AD17C0" w:rsidRDefault="00E61C5F" w:rsidP="00E61C5F">
      <w:pPr>
        <w:tabs>
          <w:tab w:val="left" w:pos="1470"/>
        </w:tabs>
        <w:ind w:right="40" w:firstLine="709"/>
        <w:jc w:val="both"/>
        <w:rPr>
          <w:b/>
          <w:i/>
        </w:rPr>
      </w:pPr>
      <w:r>
        <w:t>Первичным документом, на основании которого подарок принимается к бюджетному учету</w:t>
      </w:r>
      <w:r>
        <w:rPr>
          <w:lang w:eastAsia="en-US"/>
        </w:rPr>
        <w:t>является</w:t>
      </w:r>
      <w:r w:rsidRPr="00E61C5F">
        <w:rPr>
          <w:lang w:eastAsia="en-US"/>
        </w:rPr>
        <w:t xml:space="preserve"> акт приема-передачи подарка.</w:t>
      </w:r>
    </w:p>
    <w:p w:rsidR="00BD41D0" w:rsidRDefault="00E4393D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>
        <w:t>Решение комиссии о</w:t>
      </w:r>
      <w:r w:rsidR="00BD41D0" w:rsidRPr="004079A0">
        <w:t xml:space="preserve"> стоимости </w:t>
      </w:r>
      <w:r w:rsidR="008A0E6E" w:rsidRPr="004079A0">
        <w:t xml:space="preserve">подарка </w:t>
      </w:r>
      <w:r>
        <w:t>принимается</w:t>
      </w:r>
      <w:r w:rsidR="00BD41D0" w:rsidRPr="004079A0">
        <w:t xml:space="preserve"> в соответствии с </w:t>
      </w:r>
      <w:r w:rsidR="00EA1413">
        <w:t>пунктами 23-25</w:t>
      </w:r>
      <w:hyperlink r:id="rId14" w:history="1">
        <w:r w:rsidR="004079A0" w:rsidRPr="004079A0">
          <w:t>Инструкци</w:t>
        </w:r>
      </w:hyperlink>
      <w:r w:rsidR="004079A0" w:rsidRPr="004079A0">
        <w:t>и</w:t>
      </w:r>
      <w:r w:rsidR="00BD41D0" w:rsidRPr="004079A0">
        <w:t xml:space="preserve"> № 157н.</w:t>
      </w:r>
    </w:p>
    <w:p w:rsidR="004079A0" w:rsidRPr="004079A0" w:rsidRDefault="00ED1F9A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>
        <w:t xml:space="preserve">При наличии документов, подтверждающих </w:t>
      </w:r>
      <w:r w:rsidRPr="004079A0">
        <w:t>сумм</w:t>
      </w:r>
      <w:r>
        <w:t>у</w:t>
      </w:r>
      <w:r w:rsidRPr="004079A0">
        <w:t xml:space="preserve"> фактических вложений </w:t>
      </w:r>
      <w:r>
        <w:t xml:space="preserve">дарителя </w:t>
      </w:r>
      <w:r w:rsidRPr="004079A0">
        <w:t>в приобретение, сооружение или изготовление (создание)</w:t>
      </w:r>
      <w:r>
        <w:t xml:space="preserve"> подарка</w:t>
      </w:r>
      <w:r w:rsidR="003E3FBF" w:rsidRPr="005B2500">
        <w:rPr>
          <w:rFonts w:eastAsiaTheme="minorHAnsi"/>
          <w:bCs/>
        </w:rPr>
        <w:t>(кассовый чек, товарный чек, иной документ об оплате (приобретении) подарка)</w:t>
      </w:r>
      <w:r w:rsidRPr="004079A0">
        <w:t>,</w:t>
      </w:r>
      <w:r>
        <w:t xml:space="preserve"> указанная сумма</w:t>
      </w:r>
      <w:r w:rsidRPr="004079A0">
        <w:t xml:space="preserve"> с учетом </w:t>
      </w:r>
      <w:r>
        <w:t xml:space="preserve">НДС признается </w:t>
      </w:r>
      <w:r w:rsidRPr="004079A0">
        <w:t>первон</w:t>
      </w:r>
      <w:r>
        <w:t>ачальной (фактической) стоимостью подарка, по которой он принимается к бухгалтерскому учету.</w:t>
      </w:r>
    </w:p>
    <w:p w:rsidR="00ED1F9A" w:rsidRPr="004079A0" w:rsidRDefault="004A1698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>
        <w:lastRenderedPageBreak/>
        <w:t xml:space="preserve">В случае, если </w:t>
      </w:r>
      <w:r w:rsidR="00ED1F9A">
        <w:t xml:space="preserve">соответствующие документы отсутствуют или </w:t>
      </w:r>
      <w:r>
        <w:t xml:space="preserve">подаренный объект </w:t>
      </w:r>
      <w:r w:rsidR="004079A0" w:rsidRPr="004079A0">
        <w:t>впервые вовлекае</w:t>
      </w:r>
      <w:r>
        <w:t>тся</w:t>
      </w:r>
      <w:r w:rsidR="004079A0" w:rsidRPr="004079A0">
        <w:t xml:space="preserve"> в экономический (хозяйственный) оборот, первоначальной стоимостью </w:t>
      </w:r>
      <w:r>
        <w:t>его</w:t>
      </w:r>
      <w:r w:rsidR="004079A0" w:rsidRPr="004079A0">
        <w:t xml:space="preserve"> признается </w:t>
      </w:r>
      <w:r w:rsidR="00ED1F9A" w:rsidRPr="004079A0">
        <w:t>текущая рыночная стоимость на дату принятия к бухгалтерскому учету, увеличенная на стоимость услуг, связанных с их доставкой, регистрацией и приведением их в состояние, пригодное для использования.</w:t>
      </w:r>
    </w:p>
    <w:p w:rsidR="004079A0" w:rsidRPr="004079A0" w:rsidRDefault="00ED1F9A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>
        <w:t>Под</w:t>
      </w:r>
      <w:r w:rsidR="004079A0" w:rsidRPr="004079A0">
        <w:t xml:space="preserve"> текущей рыночной стоимостью понимается сумма денежных средств, которая может быть получена в результате продажи указанных активов на дату принятия к учету.</w:t>
      </w:r>
    </w:p>
    <w:p w:rsidR="004079A0" w:rsidRPr="004079A0" w:rsidRDefault="004079A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4079A0">
        <w:t>Определение текущей рыночной стоимости в целях принятия к бухгалтерскому учету объекта нефинансового актива производится на основе цены, действующей на дату принятия к учету (оприходования) имущества, полученного безвозмездно, на данный или аналогичный вид имущества. Данные о действующей цене должны быть подтверждены документально, а в случаях невозможности документального подтверждения - экспертным путем.</w:t>
      </w:r>
    </w:p>
    <w:p w:rsidR="004079A0" w:rsidRDefault="004079A0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4079A0">
        <w:t xml:space="preserve">При определении текущей рыночной стоимости в целях принятия к бухгалтерскому учету объекта нефинансового актива комиссией по поступлению и выбытию активов, созданной в </w:t>
      </w:r>
      <w:r w:rsidR="00EA1413">
        <w:t>органе</w:t>
      </w:r>
      <w:r w:rsidRPr="004079A0">
        <w:t xml:space="preserve"> на постоянной основе, используются данные о ценах на аналогичные материальные ценности, полученные в письменной форме от организаций-изготовителей; сведения об уровне цен, имеющиеся у органов государственной статистики, а также в средствах массовой информации и специальной литературе, 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(аналогичных) объектов нефинансовых активов.</w:t>
      </w:r>
    </w:p>
    <w:p w:rsidR="005D551F" w:rsidRPr="004D3376" w:rsidRDefault="005D551F" w:rsidP="00055C14">
      <w:pPr>
        <w:tabs>
          <w:tab w:val="left" w:pos="1369"/>
        </w:tabs>
        <w:ind w:right="40" w:firstLine="709"/>
        <w:jc w:val="both"/>
      </w:pPr>
      <w:r w:rsidRPr="004D3376">
        <w:t xml:space="preserve">Решение </w:t>
      </w:r>
      <w:r>
        <w:t>к</w:t>
      </w:r>
      <w:r w:rsidRPr="004D3376">
        <w:t xml:space="preserve">омиссии указывается в протоколе, который подписывается председателем и членами </w:t>
      </w:r>
      <w:r w:rsidR="0074613D">
        <w:t>к</w:t>
      </w:r>
      <w:r w:rsidRPr="004D3376">
        <w:t xml:space="preserve">омиссии. Протокол заседания </w:t>
      </w:r>
      <w:r w:rsidR="0074613D">
        <w:t>к</w:t>
      </w:r>
      <w:r w:rsidRPr="004D3376">
        <w:t xml:space="preserve">омиссии утверждается </w:t>
      </w:r>
      <w:r w:rsidRPr="00BD550D">
        <w:t>руководителем государственного органа</w:t>
      </w:r>
      <w:r w:rsidRPr="004D3376">
        <w:t>.</w:t>
      </w:r>
    </w:p>
    <w:p w:rsidR="00C61E2F" w:rsidRPr="00C61E2F" w:rsidRDefault="00C61E2F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C61E2F">
        <w:t xml:space="preserve">Согласно </w:t>
      </w:r>
      <w:hyperlink r:id="rId15" w:history="1">
        <w:r w:rsidRPr="00C61E2F">
          <w:t>п</w:t>
        </w:r>
        <w:r>
          <w:t>ункту</w:t>
        </w:r>
        <w:r w:rsidRPr="00C61E2F">
          <w:t xml:space="preserve"> 335</w:t>
        </w:r>
      </w:hyperlink>
      <w:r>
        <w:t xml:space="preserve"> Инструкции №</w:t>
      </w:r>
      <w:r w:rsidRPr="00C61E2F">
        <w:t xml:space="preserve"> 157н для учета полученных в дар материальных ценностей, принятых </w:t>
      </w:r>
      <w:r>
        <w:t>органом</w:t>
      </w:r>
      <w:r w:rsidRPr="00C61E2F">
        <w:t xml:space="preserve"> на хранение до момента обращения их в собственность государства и передачи указанного имущества органу, осуществляющему в его отношении полномочия собственника, пре</w:t>
      </w:r>
      <w:r>
        <w:t>дназначен забалансовый счет 02 «</w:t>
      </w:r>
      <w:r w:rsidRPr="00C61E2F">
        <w:t>Материальные ценности, принятые на хранение</w:t>
      </w:r>
      <w:r>
        <w:t>»</w:t>
      </w:r>
      <w:r w:rsidRPr="00C61E2F">
        <w:t>.</w:t>
      </w:r>
    </w:p>
    <w:p w:rsidR="00C61E2F" w:rsidRPr="0097533C" w:rsidRDefault="00C61E2F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97533C">
        <w:t xml:space="preserve">Напомним, что в данном </w:t>
      </w:r>
      <w:hyperlink r:id="rId16" w:history="1">
        <w:r w:rsidRPr="0097533C">
          <w:t>пункте</w:t>
        </w:r>
      </w:hyperlink>
      <w:r w:rsidRPr="0097533C">
        <w:t xml:space="preserve"> сказано: аналитический учет материальных ценностей, принятых на ответственное хранение, ведется по стоимости, указанной в документе передающей стороной (служащим), а в случае одностороннего оформления акта органом или при отсутствии документов, подтверждающих стоимость подарка </w:t>
      </w:r>
      <w:r w:rsidR="00E26DE2" w:rsidRPr="0097533C">
        <w:t>–</w:t>
      </w:r>
      <w:r w:rsidRPr="0097533C">
        <w:t xml:space="preserve"> в условной оценке «один объект - 1 руб.».</w:t>
      </w:r>
    </w:p>
    <w:p w:rsidR="006A26EA" w:rsidRDefault="00C61E2F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C61E2F">
        <w:t>Учет на забалансовом счете 02 целесообразен только до выкупа ценного подарка служащим</w:t>
      </w:r>
      <w:r w:rsidR="006A26EA">
        <w:t xml:space="preserve"> или его реализации</w:t>
      </w:r>
      <w:r w:rsidRPr="00C61E2F">
        <w:t xml:space="preserve">. </w:t>
      </w:r>
    </w:p>
    <w:p w:rsidR="006A26EA" w:rsidRPr="006A26EA" w:rsidRDefault="006A26EA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>
        <w:t>С</w:t>
      </w:r>
      <w:r w:rsidRPr="006A26EA">
        <w:t xml:space="preserve">лужащий, </w:t>
      </w:r>
      <w:r>
        <w:t>сдавший</w:t>
      </w:r>
      <w:r w:rsidRPr="006A26EA">
        <w:t xml:space="preserve"> подарок, </w:t>
      </w:r>
      <w:r>
        <w:t>может</w:t>
      </w:r>
      <w:r w:rsidRPr="006A26EA">
        <w:t xml:space="preserve"> его выкупить, направив на имя представителя нанимателя (работодателя)</w:t>
      </w:r>
      <w:r w:rsidR="009C5A51">
        <w:t xml:space="preserve"> (иного лица, в случае если это предусмотрено Порядком)</w:t>
      </w:r>
      <w:r w:rsidRPr="006A26EA">
        <w:t xml:space="preserve"> соответствующее заявление не позднее двух месяцев со дня сдачи подарка.</w:t>
      </w:r>
    </w:p>
    <w:p w:rsidR="006A26EA" w:rsidRPr="006A26EA" w:rsidRDefault="006A26EA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>
        <w:lastRenderedPageBreak/>
        <w:t>Государственный орган</w:t>
      </w:r>
      <w:r w:rsidRPr="006A26EA">
        <w:t xml:space="preserve"> в течение трех месяцев со дня поступления такого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24AFF" w:rsidRPr="00C61E2F" w:rsidRDefault="006A26EA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6A26EA">
        <w:rPr>
          <w:b/>
        </w:rPr>
        <w:t xml:space="preserve">Пример </w:t>
      </w:r>
      <w:r w:rsidR="00024AFF">
        <w:rPr>
          <w:b/>
        </w:rPr>
        <w:t>1</w:t>
      </w:r>
      <w:r w:rsidRPr="006A26EA">
        <w:rPr>
          <w:b/>
        </w:rPr>
        <w:t>.</w:t>
      </w:r>
      <w:r w:rsidR="00024AFF" w:rsidRPr="00C61E2F">
        <w:t xml:space="preserve">Служащим </w:t>
      </w:r>
      <w:r w:rsidR="00DA2FBE">
        <w:t>м</w:t>
      </w:r>
      <w:r w:rsidR="00024AFF" w:rsidRPr="00C61E2F">
        <w:t>ин</w:t>
      </w:r>
      <w:r w:rsidR="00DA2FBE">
        <w:t>истерства</w:t>
      </w:r>
      <w:r w:rsidR="00024AFF" w:rsidRPr="00C61E2F">
        <w:t xml:space="preserve"> во время протокольного мероприятия, проводимого 30 января 2014 г</w:t>
      </w:r>
      <w:r w:rsidR="00024AFF">
        <w:t>ода</w:t>
      </w:r>
      <w:r w:rsidR="00024AFF" w:rsidRPr="00C61E2F">
        <w:t xml:space="preserve">, получен ценный подарок в виде статуэтки. </w:t>
      </w:r>
      <w:r w:rsidR="00024AFF">
        <w:t xml:space="preserve">Документы, подтверждающие стоимость отсутствуют. </w:t>
      </w:r>
      <w:r w:rsidR="00024AFF" w:rsidRPr="00C61E2F">
        <w:t>В соответствии с принятыми правилами произведена его передача на основании акта приема-передачи в орган, в котором замещает должность служащий.</w:t>
      </w:r>
    </w:p>
    <w:p w:rsidR="006A26EA" w:rsidRPr="006A26EA" w:rsidRDefault="00024AFF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C61E2F">
        <w:t>Финансовым отделом органа ценный подарок поставлен на забал</w:t>
      </w:r>
      <w:r>
        <w:t>ансовый счет в условной оценке «</w:t>
      </w:r>
      <w:r w:rsidRPr="00C61E2F">
        <w:t>один предмет - 1 руб.</w:t>
      </w:r>
      <w:r>
        <w:t>»</w:t>
      </w:r>
      <w:r w:rsidRPr="00C61E2F">
        <w:t>. 03</w:t>
      </w:r>
      <w:r>
        <w:t xml:space="preserve"> февраля </w:t>
      </w:r>
      <w:r w:rsidRPr="00C61E2F">
        <w:t xml:space="preserve">2014 </w:t>
      </w:r>
      <w:r>
        <w:t xml:space="preserve">года </w:t>
      </w:r>
      <w:r w:rsidRPr="00C61E2F">
        <w:t>независимый эксперт произвел оценку статуэтки, согласно которой ее рыночная стоимость составила 25 500 руб.</w:t>
      </w:r>
      <w:r>
        <w:t xml:space="preserve"> С</w:t>
      </w:r>
      <w:r w:rsidR="006A26EA" w:rsidRPr="006A26EA">
        <w:t>татуэтка была выкуплена служащим, а денежные средства - перечислены им в доход бюджета.</w:t>
      </w:r>
    </w:p>
    <w:p w:rsidR="00024AFF" w:rsidRPr="006A26EA" w:rsidRDefault="006A26EA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6A26EA">
        <w:t>В бухгалтерском учете были сделаны следующие записи</w:t>
      </w:r>
      <w:r w:rsidR="00024AFF" w:rsidRPr="006A26EA">
        <w:t>(</w:t>
      </w:r>
      <w:hyperlink r:id="rId17" w:history="1">
        <w:r w:rsidR="00024AFF" w:rsidRPr="006A26EA">
          <w:t>п. 78</w:t>
        </w:r>
      </w:hyperlink>
      <w:r w:rsidR="00024AFF" w:rsidRPr="006A26EA">
        <w:t xml:space="preserve"> Инструкции N 162н):</w:t>
      </w:r>
    </w:p>
    <w:p w:rsidR="00024AFF" w:rsidRPr="006A26EA" w:rsidRDefault="00024AFF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6A26EA">
        <w:t>Дебет счета 1 205 81 560 "Увеличение дебиторской задолженности по прочим доходам"</w:t>
      </w:r>
    </w:p>
    <w:p w:rsidR="00024AFF" w:rsidRPr="006A26EA" w:rsidRDefault="00024AFF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6A26EA">
        <w:t>Кредит счета 1 401 10 180 "Прочие доходы".</w:t>
      </w:r>
    </w:p>
    <w:p w:rsidR="006A26EA" w:rsidRPr="006A26EA" w:rsidRDefault="006A26EA" w:rsidP="00055C1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1800"/>
        <w:gridCol w:w="1800"/>
        <w:gridCol w:w="1440"/>
      </w:tblGrid>
      <w:tr w:rsidR="006A26EA" w:rsidRPr="006A26EA" w:rsidTr="001C0DDF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Содержание операции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Дебет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Кредит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Сумма, руб.</w:t>
            </w:r>
          </w:p>
        </w:tc>
      </w:tr>
      <w:tr w:rsidR="006A26EA" w:rsidRPr="006A26EA" w:rsidTr="001C0DDF">
        <w:tc>
          <w:tcPr>
            <w:tcW w:w="9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Январь 2014 г.</w:t>
            </w:r>
          </w:p>
        </w:tc>
      </w:tr>
      <w:tr w:rsidR="006A26EA" w:rsidRPr="006A26EA" w:rsidTr="001C0DDF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Поставлен на забалансовый учет ценный подарок в условной оценке "один предмет - 1 руб."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6A26EA" w:rsidRPr="006A26EA" w:rsidTr="001C0DDF">
        <w:tc>
          <w:tcPr>
            <w:tcW w:w="9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Февраль 2014 г.</w:t>
            </w:r>
          </w:p>
        </w:tc>
      </w:tr>
      <w:tr w:rsidR="006A26EA" w:rsidRPr="006A26EA" w:rsidTr="001C0DDF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Списан с забалансового учета ценный подарок в связи с его выкупом госслужащим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6A26EA" w:rsidRPr="006A26EA" w:rsidTr="001C0DDF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Отражен доход от реализации имущ</w:t>
            </w:r>
            <w:r w:rsidR="00024AF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ества по его рыночной стоимости</w:t>
            </w:r>
            <w:r w:rsidR="00024AFF">
              <w:rPr>
                <w:rStyle w:val="a8"/>
                <w:rFonts w:ascii="Arial" w:eastAsiaTheme="minorHAnsi" w:hAnsi="Arial" w:cs="Arial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1 205 81 560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1 401 10 180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25 500</w:t>
            </w:r>
          </w:p>
        </w:tc>
      </w:tr>
      <w:tr w:rsidR="006A26EA" w:rsidRPr="006A26EA" w:rsidTr="001C0DDF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Начислен НДС, подлежащий уплате в бюджет в порядке, установленном </w:t>
            </w:r>
            <w:hyperlink r:id="rId18" w:history="1">
              <w:r w:rsidRPr="006A26EA"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НК</w:t>
              </w:r>
            </w:hyperlink>
            <w:r w:rsidR="00024AF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РФ</w:t>
            </w:r>
            <w:r w:rsidR="00024AFF">
              <w:rPr>
                <w:rStyle w:val="a8"/>
                <w:rFonts w:ascii="Arial" w:eastAsiaTheme="minorHAnsi" w:hAnsi="Arial" w:cs="Arial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1 401 20 290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1 303 04 730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4590</w:t>
            </w:r>
          </w:p>
        </w:tc>
      </w:tr>
      <w:tr w:rsidR="006A26EA" w:rsidRPr="006A26EA" w:rsidTr="001C0DDF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Перечислен в доход бюджета НДС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1 303 04 830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1 304 05 290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4590</w:t>
            </w:r>
          </w:p>
        </w:tc>
      </w:tr>
      <w:tr w:rsidR="006A26EA" w:rsidRPr="006A26EA" w:rsidTr="001C0DDF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Перечислены денежные средства служащим в доход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1 210 02 180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1 205 81 660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26EA" w:rsidRPr="006A26EA" w:rsidRDefault="006A26EA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6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30 090</w:t>
            </w:r>
          </w:p>
        </w:tc>
      </w:tr>
    </w:tbl>
    <w:p w:rsidR="006A26EA" w:rsidRDefault="006A26EA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bookmarkStart w:id="2" w:name="Par42"/>
      <w:bookmarkStart w:id="3" w:name="Par43"/>
      <w:bookmarkEnd w:id="2"/>
      <w:bookmarkEnd w:id="3"/>
    </w:p>
    <w:p w:rsidR="00C61E2F" w:rsidRPr="00C61E2F" w:rsidRDefault="00C61E2F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  <w:rPr>
          <w:sz w:val="32"/>
        </w:rPr>
      </w:pPr>
      <w:r w:rsidRPr="00C61E2F">
        <w:lastRenderedPageBreak/>
        <w:t xml:space="preserve">В случае отказа </w:t>
      </w:r>
      <w:r w:rsidR="006A26EA">
        <w:t xml:space="preserve">служащего </w:t>
      </w:r>
      <w:r w:rsidRPr="00C61E2F">
        <w:t xml:space="preserve">от выкупа либо при невозможности реализовать подарок другим покупателям </w:t>
      </w:r>
      <w:r w:rsidR="006A26EA">
        <w:t>руководителе</w:t>
      </w:r>
      <w:r>
        <w:t xml:space="preserve">м государственного органа </w:t>
      </w:r>
      <w:r w:rsidRPr="00C61E2F">
        <w:t>принимается решение о реализации подарка, либо о его безвозмездной передаче на баланс благотворительной организации, либо об уничтожении подарка в соответствии с законодательством Р</w:t>
      </w:r>
      <w:r w:rsidR="00503C93">
        <w:t xml:space="preserve">оссийской </w:t>
      </w:r>
      <w:r w:rsidRPr="00C61E2F">
        <w:t>Ф</w:t>
      </w:r>
      <w:r w:rsidR="00503C93">
        <w:t>едерации</w:t>
      </w:r>
      <w:r w:rsidRPr="00C61E2F">
        <w:t>.</w:t>
      </w:r>
    </w:p>
    <w:p w:rsidR="00024AFF" w:rsidRPr="00C61E2F" w:rsidRDefault="00C61E2F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C61E2F">
        <w:rPr>
          <w:b/>
        </w:rPr>
        <w:t xml:space="preserve">Пример </w:t>
      </w:r>
      <w:r w:rsidR="00187CC6">
        <w:rPr>
          <w:b/>
        </w:rPr>
        <w:t>2</w:t>
      </w:r>
      <w:r w:rsidRPr="00C61E2F">
        <w:rPr>
          <w:b/>
        </w:rPr>
        <w:t>.</w:t>
      </w:r>
    </w:p>
    <w:p w:rsidR="00C61E2F" w:rsidRPr="00C61E2F" w:rsidRDefault="00C61E2F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C61E2F">
        <w:t>Госслужащий отказался выкупать подарок, статуэтка была передана в благотворительную организацию в этом же месяце</w:t>
      </w:r>
      <w:r w:rsidR="00DC6E4C">
        <w:rPr>
          <w:rStyle w:val="a8"/>
        </w:rPr>
        <w:footnoteReference w:id="4"/>
      </w:r>
      <w:r w:rsidRPr="00C61E2F">
        <w:t>.</w:t>
      </w:r>
    </w:p>
    <w:p w:rsidR="00C61E2F" w:rsidRPr="00C61E2F" w:rsidRDefault="00C61E2F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C61E2F">
        <w:t>В бухгалтерском учете были сделаны следующие записи:</w:t>
      </w:r>
    </w:p>
    <w:p w:rsidR="00C61E2F" w:rsidRPr="00C61E2F" w:rsidRDefault="00C61E2F" w:rsidP="00055C1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1800"/>
        <w:gridCol w:w="1800"/>
        <w:gridCol w:w="1440"/>
      </w:tblGrid>
      <w:tr w:rsidR="00C61E2F" w:rsidRPr="00C61E2F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Содержание операции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1E2F" w:rsidRPr="00C61E2F" w:rsidRDefault="00C61E2F" w:rsidP="00332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Дебет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1E2F" w:rsidRPr="00C61E2F" w:rsidRDefault="00C61E2F" w:rsidP="00332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Кредит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3323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Сумма, руб.</w:t>
            </w:r>
          </w:p>
        </w:tc>
      </w:tr>
      <w:tr w:rsidR="00C61E2F" w:rsidRPr="00C61E2F">
        <w:tc>
          <w:tcPr>
            <w:tcW w:w="9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Январь 2014 г.</w:t>
            </w:r>
          </w:p>
        </w:tc>
      </w:tr>
      <w:tr w:rsidR="00C61E2F" w:rsidRPr="00C61E2F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Поставлен на забалансовый учет ценный подарок в условной оценке "один предмет - 1 руб."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C61E2F" w:rsidRPr="00C61E2F">
        <w:tc>
          <w:tcPr>
            <w:tcW w:w="9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Февраль 2014 г.</w:t>
            </w:r>
          </w:p>
        </w:tc>
      </w:tr>
      <w:tr w:rsidR="00C61E2F" w:rsidRPr="00C61E2F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Списан с забалансового учета ценный подарок в связи с отказом госслужащего от его выкупа и поставлен на балансовый учет в государственном органе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C61E2F" w:rsidRPr="00C61E2F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Поставлен на балансовый учет ценный подарок в виде статуэтки</w:t>
            </w:r>
            <w:r w:rsidR="00B376B5">
              <w:rPr>
                <w:rStyle w:val="a8"/>
                <w:rFonts w:ascii="Arial" w:eastAsiaTheme="minorHAnsi" w:hAnsi="Arial" w:cs="Arial"/>
                <w:sz w:val="20"/>
                <w:szCs w:val="20"/>
                <w:lang w:eastAsia="en-US"/>
              </w:rPr>
              <w:footnoteReference w:id="5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1 101 38 310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1 401 10 180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25 500</w:t>
            </w:r>
          </w:p>
        </w:tc>
      </w:tr>
      <w:tr w:rsidR="00C61E2F" w:rsidRPr="00C61E2F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Передана безвозмездно статуэтка в благотворительную организацию</w:t>
            </w:r>
            <w:r w:rsidR="00B376B5">
              <w:rPr>
                <w:rStyle w:val="a8"/>
                <w:rFonts w:ascii="Arial" w:eastAsiaTheme="minorHAnsi" w:hAnsi="Arial" w:cs="Arial"/>
                <w:sz w:val="20"/>
                <w:szCs w:val="20"/>
                <w:lang w:eastAsia="en-US"/>
              </w:rPr>
              <w:footnoteReference w:id="6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1 401 20 242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1 101 38 410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25 500</w:t>
            </w:r>
          </w:p>
        </w:tc>
      </w:tr>
      <w:tr w:rsidR="00C61E2F" w:rsidRPr="00C61E2F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Начислен НДС, подлежащий уплате в бюджет в порядке, установленном </w:t>
            </w:r>
            <w:hyperlink r:id="rId19" w:history="1">
              <w:r w:rsidRPr="00C61E2F"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НК</w:t>
              </w:r>
            </w:hyperlink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РФ</w:t>
            </w:r>
          </w:p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(25 500 руб. x 18%)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1 401 20 290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1 303 04 730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E2F" w:rsidRPr="00C61E2F" w:rsidRDefault="00C61E2F" w:rsidP="00055C14">
            <w:pPr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1E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4590</w:t>
            </w:r>
          </w:p>
        </w:tc>
      </w:tr>
    </w:tbl>
    <w:p w:rsidR="00723B97" w:rsidRDefault="00723B97" w:rsidP="00723B97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187CC6" w:rsidRDefault="00187CC6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187CC6">
        <w:t>В случае</w:t>
      </w:r>
      <w:r>
        <w:t xml:space="preserve">, если служащим не подано заявление о выкупе подарка, использование подарка государственным органом </w:t>
      </w:r>
      <w:r w:rsidRPr="00187CC6">
        <w:t>нецелесообразно</w:t>
      </w:r>
      <w:r>
        <w:t>,</w:t>
      </w:r>
      <w:r w:rsidRPr="00187CC6">
        <w:t xml:space="preserve"> руководителем государственн</w:t>
      </w:r>
      <w:r>
        <w:t xml:space="preserve">ого органа </w:t>
      </w:r>
      <w:r w:rsidRPr="00187CC6">
        <w:t xml:space="preserve">принимается решение о реализации подарка и проведении оценки его стоимости для реализации, осуществляемой посредством проведения торгов в порядке, предусмотренном законодательством </w:t>
      </w:r>
      <w:r w:rsidR="00503C93" w:rsidRPr="00C61E2F">
        <w:t>Р</w:t>
      </w:r>
      <w:r w:rsidR="00503C93">
        <w:t xml:space="preserve">оссийской </w:t>
      </w:r>
      <w:r w:rsidR="00503C93" w:rsidRPr="00C61E2F">
        <w:t>Ф</w:t>
      </w:r>
      <w:r w:rsidR="00503C93">
        <w:t>едерации</w:t>
      </w:r>
      <w:r>
        <w:t>.</w:t>
      </w:r>
    </w:p>
    <w:p w:rsidR="00187CC6" w:rsidRPr="00187CC6" w:rsidRDefault="00187CC6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97533C">
        <w:lastRenderedPageBreak/>
        <w:t>Для организации торгов можно заключить соответствующий договор со сторонней организацией</w:t>
      </w:r>
      <w:r w:rsidR="00067BF6" w:rsidRPr="0097533C">
        <w:t>.</w:t>
      </w:r>
    </w:p>
    <w:p w:rsidR="007A3593" w:rsidRPr="00187CC6" w:rsidRDefault="00CF4E18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187CC6">
        <w:t xml:space="preserve">Денежные средства, полученные </w:t>
      </w:r>
      <w:r w:rsidR="00CD637C" w:rsidRPr="00187CC6">
        <w:t xml:space="preserve">государственным органом от </w:t>
      </w:r>
      <w:r w:rsidR="007A3593" w:rsidRPr="00187CC6">
        <w:t>реализации подарка посредством проведения торгов</w:t>
      </w:r>
      <w:r w:rsidRPr="00187CC6">
        <w:t>,</w:t>
      </w:r>
      <w:r w:rsidR="007A3593" w:rsidRPr="00187CC6">
        <w:t xml:space="preserve"> также подлежат принятию на балансовый учет и перечислению в соответствующий бюджет. </w:t>
      </w:r>
    </w:p>
    <w:p w:rsidR="000D2414" w:rsidRPr="000D2414" w:rsidRDefault="000D2414" w:rsidP="00A5442A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0D2414">
        <w:t xml:space="preserve">НДФЛ. Согласно </w:t>
      </w:r>
      <w:hyperlink r:id="rId20" w:history="1">
        <w:r w:rsidRPr="000D2414">
          <w:t>п</w:t>
        </w:r>
        <w:r>
          <w:t xml:space="preserve">ункту </w:t>
        </w:r>
        <w:r w:rsidRPr="000D2414">
          <w:t>1 ст</w:t>
        </w:r>
        <w:r>
          <w:t>атьи</w:t>
        </w:r>
        <w:r w:rsidRPr="000D2414">
          <w:t xml:space="preserve"> 209</w:t>
        </w:r>
      </w:hyperlink>
      <w:r w:rsidRPr="000D2414">
        <w:t xml:space="preserve"> Н</w:t>
      </w:r>
      <w:r>
        <w:t>алогового кодекса</w:t>
      </w:r>
      <w:r w:rsidRPr="000D2414">
        <w:t xml:space="preserve"> Р</w:t>
      </w:r>
      <w:r w:rsidR="00A5442A">
        <w:t xml:space="preserve">оссийской </w:t>
      </w:r>
      <w:r w:rsidRPr="000D2414">
        <w:t>Ф</w:t>
      </w:r>
      <w:r w:rsidR="00A5442A">
        <w:t>едерации (далее – НК РФ)</w:t>
      </w:r>
      <w:r w:rsidRPr="000D2414">
        <w:t xml:space="preserve"> объектом налогообложения для физических лиц, являющихся налоговыми резидентами Р</w:t>
      </w:r>
      <w:r w:rsidR="00A5442A">
        <w:t>оссийской Федерации</w:t>
      </w:r>
      <w:r w:rsidRPr="000D2414">
        <w:t xml:space="preserve">, признается доход, полученный налогоплательщиками от источников в </w:t>
      </w:r>
      <w:r w:rsidR="00A5442A" w:rsidRPr="000D2414">
        <w:t>Р</w:t>
      </w:r>
      <w:r w:rsidR="00A5442A">
        <w:t>оссийской Федерации</w:t>
      </w:r>
      <w:r w:rsidRPr="000D2414">
        <w:t xml:space="preserve">и (или) за пределами </w:t>
      </w:r>
      <w:r w:rsidR="00A5442A" w:rsidRPr="000D2414">
        <w:t>Р</w:t>
      </w:r>
      <w:r w:rsidR="00A5442A">
        <w:t>оссийской Федерации</w:t>
      </w:r>
      <w:r w:rsidRPr="000D2414">
        <w:t>. При этом не подлежит налогообложению доход в виде подарков, полученных налогоплательщиками от организаций или индивидуальных предпринимателей, если их стоимость не превышает 4000 руб. за налоговый период (</w:t>
      </w:r>
      <w:hyperlink r:id="rId21" w:history="1">
        <w:r w:rsidRPr="000D2414">
          <w:t>п</w:t>
        </w:r>
        <w:r>
          <w:t>ункт</w:t>
        </w:r>
        <w:r w:rsidRPr="000D2414">
          <w:t xml:space="preserve"> 28 ст</w:t>
        </w:r>
        <w:r>
          <w:t>атьи</w:t>
        </w:r>
        <w:r w:rsidRPr="000D2414">
          <w:t xml:space="preserve"> 217</w:t>
        </w:r>
      </w:hyperlink>
      <w:r w:rsidRPr="000D2414">
        <w:t xml:space="preserve"> НК РФ).</w:t>
      </w:r>
    </w:p>
    <w:p w:rsidR="000D2414" w:rsidRPr="000D2414" w:rsidRDefault="00893AE3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hyperlink r:id="rId22" w:history="1">
        <w:r w:rsidR="000D2414" w:rsidRPr="000D2414">
          <w:t>Статьей 41</w:t>
        </w:r>
      </w:hyperlink>
      <w:r w:rsidR="000D2414" w:rsidRPr="000D2414">
        <w:t xml:space="preserve"> НК РФ установлено, что доходом признается экономическая выгода в денежной или натуральной форме, учитываемая в случае возможности ее оценки и в той мере, в которой такую выгоду можно оценить.</w:t>
      </w:r>
    </w:p>
    <w:p w:rsidR="000D2414" w:rsidRPr="000D2414" w:rsidRDefault="000D2414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0D2414">
        <w:t>Однако подарки, которые получены лицами, замещающими государственные должности Р</w:t>
      </w:r>
      <w:r w:rsidR="00EF6771">
        <w:t>оссийской Федерации</w:t>
      </w:r>
      <w:r w:rsidRPr="000D2414">
        <w:t xml:space="preserve">, государственные должности субъектов </w:t>
      </w:r>
      <w:r w:rsidR="00EF6771" w:rsidRPr="000D2414">
        <w:t>Р</w:t>
      </w:r>
      <w:r w:rsidR="00EF6771">
        <w:t>оссийской Федерации</w:t>
      </w:r>
      <w:r w:rsidRPr="000D2414">
        <w:t>, муниципальные должности, государственными служащими, муниципальными служащими, служащими Банка России и стоимость которых превышает 3000 руб</w:t>
      </w:r>
      <w:r w:rsidR="00EF6771">
        <w:t>лей</w:t>
      </w:r>
      <w:r w:rsidRPr="000D2414">
        <w:t xml:space="preserve">, признаются соответственно федеральной собственностью, собственностью субъекта </w:t>
      </w:r>
      <w:r w:rsidR="00EF6771" w:rsidRPr="000D2414">
        <w:t>Р</w:t>
      </w:r>
      <w:r w:rsidR="00EF6771">
        <w:t>оссийской Федерации</w:t>
      </w:r>
      <w:r w:rsidRPr="000D2414">
        <w:t>или муниципальной собственностью и передаются служащим по акту в орган, в котором указанное лицо замещает должность.</w:t>
      </w:r>
    </w:p>
    <w:p w:rsidR="000D2414" w:rsidRPr="000D2414" w:rsidRDefault="000D2414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0D2414">
        <w:t xml:space="preserve">Таким образом, при получении названными выше лицами подарка, признаваемого в соответствии с законодательством федеральной собственностью, собственностью субъекта </w:t>
      </w:r>
      <w:r w:rsidR="00EF6771" w:rsidRPr="000D2414">
        <w:t>Р</w:t>
      </w:r>
      <w:r w:rsidR="00EF6771">
        <w:t>оссийской Федерации</w:t>
      </w:r>
      <w:r w:rsidRPr="000D2414">
        <w:t>или муниципальной собственностью и передаваемого по акту в орган, в котором поименованное лицо замещает должность, дохода, подлежащего налогообложению, не возникает.</w:t>
      </w:r>
    </w:p>
    <w:p w:rsidR="000D2414" w:rsidRDefault="000D2414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0D2414">
        <w:t xml:space="preserve">Данные разъяснения представлены в Письмах Минфина России от 03.12.2009 </w:t>
      </w:r>
      <w:hyperlink r:id="rId23" w:history="1">
        <w:r w:rsidR="005413A0">
          <w:t>№</w:t>
        </w:r>
        <w:r w:rsidRPr="000D2414">
          <w:t xml:space="preserve"> 03-04-06-01/310</w:t>
        </w:r>
      </w:hyperlink>
      <w:r w:rsidRPr="000D2414">
        <w:t xml:space="preserve">, от 13.03.2009 </w:t>
      </w:r>
      <w:hyperlink r:id="rId24" w:history="1">
        <w:r w:rsidR="005413A0">
          <w:t>№</w:t>
        </w:r>
        <w:r w:rsidRPr="000D2414">
          <w:t xml:space="preserve"> 01-02-01/03-504</w:t>
        </w:r>
      </w:hyperlink>
      <w:r w:rsidRPr="000D2414">
        <w:t>.</w:t>
      </w:r>
    </w:p>
    <w:p w:rsidR="00EF6771" w:rsidRPr="000D2414" w:rsidRDefault="00EF6771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>
        <w:t>Тем не менее, следует учитывать, что если служащий в течение года получа</w:t>
      </w:r>
      <w:r w:rsidR="00CB6F93">
        <w:t xml:space="preserve">етнесколько </w:t>
      </w:r>
      <w:r>
        <w:t>подарк</w:t>
      </w:r>
      <w:r w:rsidR="00CB6F93">
        <w:t xml:space="preserve">ов, стоимостью менее 3000 рублей, при этом </w:t>
      </w:r>
      <w:r w:rsidR="00B257BC">
        <w:t xml:space="preserve">их </w:t>
      </w:r>
      <w:r w:rsidR="00CB6F93">
        <w:t xml:space="preserve">общая стоимость за год превысит4000 рублей, у служащего </w:t>
      </w:r>
      <w:r w:rsidR="00B257BC">
        <w:t>возникает</w:t>
      </w:r>
      <w:r w:rsidR="00CB6F93">
        <w:t xml:space="preserve"> обязанность уплатить НДФЛ.</w:t>
      </w:r>
    </w:p>
    <w:p w:rsidR="000D2414" w:rsidRPr="000D2414" w:rsidRDefault="000D2414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0D2414">
        <w:t xml:space="preserve">НДС. Согласно </w:t>
      </w:r>
      <w:hyperlink r:id="rId25" w:history="1">
        <w:r w:rsidRPr="000D2414">
          <w:t>п</w:t>
        </w:r>
        <w:r w:rsidR="006F18C0">
          <w:t>ункту</w:t>
        </w:r>
        <w:r w:rsidRPr="000D2414">
          <w:t xml:space="preserve"> 1 ст</w:t>
        </w:r>
        <w:r w:rsidR="006F18C0">
          <w:t>атьи</w:t>
        </w:r>
        <w:r w:rsidRPr="000D2414">
          <w:t xml:space="preserve"> 39</w:t>
        </w:r>
      </w:hyperlink>
      <w:r w:rsidRPr="000D2414">
        <w:t xml:space="preserve"> НК РФ реализацией товаров, работ или услуг организацией признается передача на возмездной основе. При этом объектом обложения НДС признается реализация товаров (работ, услуг) на территории РФ, в том числе реализация предметов залога и передача товаров (результатов выполненных работ, оказание услуг) по соглашению о предоставлении отступного или новации, а также передача имущественных прав (</w:t>
      </w:r>
      <w:hyperlink r:id="rId26" w:history="1">
        <w:r w:rsidRPr="000D2414">
          <w:t>п</w:t>
        </w:r>
        <w:r w:rsidR="006F18C0">
          <w:t>одпункт</w:t>
        </w:r>
        <w:r w:rsidRPr="000D2414">
          <w:t xml:space="preserve"> 1 п</w:t>
        </w:r>
        <w:r w:rsidR="006F18C0">
          <w:t>ункта</w:t>
        </w:r>
        <w:r w:rsidRPr="000D2414">
          <w:t xml:space="preserve"> 1 ст</w:t>
        </w:r>
        <w:r w:rsidR="006F18C0">
          <w:t>атьи</w:t>
        </w:r>
        <w:r w:rsidRPr="000D2414">
          <w:t xml:space="preserve"> 146</w:t>
        </w:r>
      </w:hyperlink>
      <w:r w:rsidRPr="000D2414">
        <w:t xml:space="preserve"> НК РФ).</w:t>
      </w:r>
    </w:p>
    <w:p w:rsidR="000D2414" w:rsidRPr="000D2414" w:rsidRDefault="000D2414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0D2414">
        <w:lastRenderedPageBreak/>
        <w:t>Налоговая база по НДС определяется как рыночная стоимость подарка (без НДС). Причем налоговая ставка будет равна 18% (</w:t>
      </w:r>
      <w:hyperlink r:id="rId27" w:history="1">
        <w:r w:rsidRPr="000D2414">
          <w:t>п</w:t>
        </w:r>
        <w:r w:rsidR="008024E8">
          <w:t>ункт</w:t>
        </w:r>
        <w:r w:rsidRPr="000D2414">
          <w:t xml:space="preserve"> 1 ст</w:t>
        </w:r>
        <w:r w:rsidR="008024E8">
          <w:t>атьи</w:t>
        </w:r>
        <w:r w:rsidRPr="000D2414">
          <w:t xml:space="preserve"> 154</w:t>
        </w:r>
      </w:hyperlink>
      <w:r w:rsidRPr="000D2414">
        <w:t xml:space="preserve">, </w:t>
      </w:r>
      <w:hyperlink r:id="rId28" w:history="1">
        <w:r w:rsidRPr="000D2414">
          <w:t>п</w:t>
        </w:r>
        <w:r w:rsidR="008024E8">
          <w:t>ункт</w:t>
        </w:r>
        <w:r w:rsidRPr="000D2414">
          <w:t xml:space="preserve"> 3 ст</w:t>
        </w:r>
        <w:r w:rsidR="008024E8">
          <w:t>атьи</w:t>
        </w:r>
        <w:r w:rsidRPr="000D2414">
          <w:t xml:space="preserve"> 164</w:t>
        </w:r>
      </w:hyperlink>
      <w:r w:rsidRPr="000D2414">
        <w:t xml:space="preserve"> НК РФ).</w:t>
      </w:r>
    </w:p>
    <w:p w:rsidR="000D2414" w:rsidRPr="000D2414" w:rsidRDefault="000D2414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0D2414">
        <w:t xml:space="preserve">Налог на прибыль организаций. В силу </w:t>
      </w:r>
      <w:hyperlink r:id="rId29" w:history="1">
        <w:r w:rsidRPr="000D2414">
          <w:t>п</w:t>
        </w:r>
        <w:r w:rsidR="008024E8">
          <w:t>ункта</w:t>
        </w:r>
        <w:r w:rsidRPr="000D2414">
          <w:t xml:space="preserve"> 1 ст</w:t>
        </w:r>
        <w:r w:rsidR="008024E8">
          <w:t>атьи</w:t>
        </w:r>
        <w:r w:rsidRPr="000D2414">
          <w:t xml:space="preserve"> 248</w:t>
        </w:r>
      </w:hyperlink>
      <w:r w:rsidRPr="000D2414">
        <w:t xml:space="preserve"> НК РФ к доходам в целях определения налога на прибыль относятся доходы от реализации товаров (работ, услуг) и имущественных прав. Доходом от реализации признаются выручка от реализации товаров (работ, услуг) как собственного производства, так и ранее приобретенных, выручка от реализации имущественных прав (</w:t>
      </w:r>
      <w:hyperlink r:id="rId30" w:history="1">
        <w:r w:rsidRPr="000D2414">
          <w:t>п</w:t>
        </w:r>
        <w:r w:rsidR="00460D07">
          <w:t>ункт</w:t>
        </w:r>
        <w:r w:rsidRPr="000D2414">
          <w:t xml:space="preserve"> 1 ст</w:t>
        </w:r>
        <w:r w:rsidR="00460D07">
          <w:t>атьи</w:t>
        </w:r>
        <w:r w:rsidRPr="000D2414">
          <w:t xml:space="preserve"> 249</w:t>
        </w:r>
      </w:hyperlink>
      <w:r w:rsidRPr="000D2414">
        <w:t xml:space="preserve"> НК РФ).</w:t>
      </w:r>
    </w:p>
    <w:p w:rsidR="000D2414" w:rsidRPr="000D2414" w:rsidRDefault="000D2414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  <w:r w:rsidRPr="000D2414">
        <w:t xml:space="preserve">Из приведенных положений </w:t>
      </w:r>
      <w:r w:rsidR="00503C93">
        <w:t>НК РФ</w:t>
      </w:r>
      <w:r w:rsidRPr="000D2414">
        <w:t xml:space="preserve"> следует, что полученная от </w:t>
      </w:r>
      <w:r w:rsidR="00460D07">
        <w:t>служащего</w:t>
      </w:r>
      <w:r w:rsidRPr="000D2414">
        <w:t xml:space="preserve"> плата за выкупаемый им подарок является доходом в целях налогообложения прибыли.</w:t>
      </w:r>
      <w:r w:rsidR="00AF5136">
        <w:rPr>
          <w:rStyle w:val="a8"/>
        </w:rPr>
        <w:footnoteReference w:id="7"/>
      </w:r>
    </w:p>
    <w:p w:rsidR="000D2414" w:rsidRPr="00187CC6" w:rsidRDefault="000D2414" w:rsidP="00055C14">
      <w:pPr>
        <w:pStyle w:val="4"/>
        <w:shd w:val="clear" w:color="auto" w:fill="auto"/>
        <w:tabs>
          <w:tab w:val="left" w:pos="1240"/>
        </w:tabs>
        <w:spacing w:line="240" w:lineRule="auto"/>
        <w:ind w:right="40" w:firstLine="709"/>
      </w:pPr>
    </w:p>
    <w:sectPr w:rsidR="000D2414" w:rsidRPr="00187CC6" w:rsidSect="0044778B">
      <w:headerReference w:type="default" r:id="rId3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37" w:rsidRDefault="00A45D37" w:rsidP="00BD550D">
      <w:r>
        <w:separator/>
      </w:r>
    </w:p>
  </w:endnote>
  <w:endnote w:type="continuationSeparator" w:id="1">
    <w:p w:rsidR="00A45D37" w:rsidRDefault="00A45D37" w:rsidP="00BD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37" w:rsidRDefault="00A45D37" w:rsidP="00BD550D">
      <w:r>
        <w:separator/>
      </w:r>
    </w:p>
  </w:footnote>
  <w:footnote w:type="continuationSeparator" w:id="1">
    <w:p w:rsidR="00A45D37" w:rsidRDefault="00A45D37" w:rsidP="00BD550D">
      <w:r>
        <w:continuationSeparator/>
      </w:r>
    </w:p>
  </w:footnote>
  <w:footnote w:id="2">
    <w:p w:rsidR="00024AFF" w:rsidRDefault="00024AFF">
      <w:pPr>
        <w:pStyle w:val="a6"/>
      </w:pPr>
      <w:r>
        <w:rPr>
          <w:rStyle w:val="a8"/>
        </w:rPr>
        <w:footnoteRef/>
      </w:r>
      <w:r w:rsidRPr="006A26EA">
        <w:rPr>
          <w:rFonts w:ascii="Arial" w:eastAsiaTheme="minorHAnsi" w:hAnsi="Arial" w:cs="Arial"/>
          <w:lang w:eastAsia="en-US"/>
        </w:rPr>
        <w:t xml:space="preserve">В соответствии с </w:t>
      </w:r>
      <w:hyperlink r:id="rId1" w:history="1">
        <w:r w:rsidRPr="006A26EA">
          <w:rPr>
            <w:rFonts w:ascii="Arial" w:eastAsiaTheme="minorHAnsi" w:hAnsi="Arial" w:cs="Arial"/>
            <w:color w:val="0000FF"/>
            <w:lang w:eastAsia="en-US"/>
          </w:rPr>
          <w:t>п. 25</w:t>
        </w:r>
      </w:hyperlink>
      <w:r w:rsidRPr="006A26EA">
        <w:rPr>
          <w:rFonts w:ascii="Arial" w:eastAsiaTheme="minorHAnsi" w:hAnsi="Arial" w:cs="Arial"/>
          <w:lang w:eastAsia="en-US"/>
        </w:rPr>
        <w:t xml:space="preserve"> Инструкции N 157н под рыночной стоимостью понимается сумма денежных средств, которая может быть получена в результате продажи активов на дату принятия к бюджетному учету.</w:t>
      </w:r>
    </w:p>
  </w:footnote>
  <w:footnote w:id="3">
    <w:p w:rsidR="00024AFF" w:rsidRDefault="00024AFF">
      <w:pPr>
        <w:pStyle w:val="a6"/>
      </w:pPr>
      <w:r>
        <w:rPr>
          <w:rStyle w:val="a8"/>
        </w:rPr>
        <w:footnoteRef/>
      </w:r>
      <w:r w:rsidRPr="006A26EA">
        <w:rPr>
          <w:rFonts w:ascii="Arial" w:eastAsiaTheme="minorHAnsi" w:hAnsi="Arial" w:cs="Arial"/>
          <w:lang w:eastAsia="en-US"/>
        </w:rPr>
        <w:t xml:space="preserve">В силу </w:t>
      </w:r>
      <w:hyperlink r:id="rId2" w:history="1">
        <w:r w:rsidRPr="006A26EA">
          <w:rPr>
            <w:rFonts w:ascii="Arial" w:eastAsiaTheme="minorHAnsi" w:hAnsi="Arial" w:cs="Arial"/>
            <w:color w:val="0000FF"/>
            <w:lang w:eastAsia="en-US"/>
          </w:rPr>
          <w:t>п. 1 ст. 39</w:t>
        </w:r>
      </w:hyperlink>
      <w:r w:rsidRPr="006A26EA">
        <w:rPr>
          <w:rFonts w:ascii="Arial" w:eastAsiaTheme="minorHAnsi" w:hAnsi="Arial" w:cs="Arial"/>
          <w:lang w:eastAsia="en-US"/>
        </w:rPr>
        <w:t xml:space="preserve"> НК РФ передача на возмездной основе права собственности на товары признается реализацией товаров организацией, а согласно </w:t>
      </w:r>
      <w:hyperlink r:id="rId3" w:history="1">
        <w:r w:rsidRPr="006A26EA">
          <w:rPr>
            <w:rFonts w:ascii="Arial" w:eastAsiaTheme="minorHAnsi" w:hAnsi="Arial" w:cs="Arial"/>
            <w:color w:val="0000FF"/>
            <w:lang w:eastAsia="en-US"/>
          </w:rPr>
          <w:t>пп. 1 п. 1 ст. 146</w:t>
        </w:r>
      </w:hyperlink>
      <w:r w:rsidRPr="006A26EA">
        <w:rPr>
          <w:rFonts w:ascii="Arial" w:eastAsiaTheme="minorHAnsi" w:hAnsi="Arial" w:cs="Arial"/>
          <w:lang w:eastAsia="en-US"/>
        </w:rPr>
        <w:t xml:space="preserve"> НК РФ реализация товаров является объектом обложения НДС независимо от формы оплаты</w:t>
      </w:r>
    </w:p>
  </w:footnote>
  <w:footnote w:id="4">
    <w:p w:rsidR="00DC6E4C" w:rsidRDefault="00DC6E4C" w:rsidP="00B376B5">
      <w:pPr>
        <w:pStyle w:val="ConsPlusNormal"/>
        <w:ind w:firstLine="540"/>
        <w:jc w:val="both"/>
      </w:pPr>
      <w:r>
        <w:rPr>
          <w:rStyle w:val="a8"/>
        </w:rPr>
        <w:footnoteRef/>
      </w:r>
      <w:r w:rsidRPr="00DC6E4C">
        <w:t>Нестеров С.Е. Сообщение отдельными категориями служащих о получении подарков: знакомимся с новым Типовым положением // Оплата труда в государственном (муниципальном) учреждении: бухгалтерский учет и налогообложение. 2014. N 2. С. 25 - 35.</w:t>
      </w:r>
    </w:p>
  </w:footnote>
  <w:footnote w:id="5">
    <w:p w:rsidR="00B376B5" w:rsidRDefault="00B376B5" w:rsidP="00B376B5">
      <w:pPr>
        <w:pStyle w:val="ConsPlusNormal"/>
        <w:ind w:firstLine="540"/>
        <w:jc w:val="both"/>
      </w:pPr>
      <w:r>
        <w:rPr>
          <w:rStyle w:val="a8"/>
        </w:rPr>
        <w:footnoteRef/>
      </w:r>
      <w:r w:rsidRPr="00B376B5">
        <w:t>Материальные объекты имущества независимо от их стоимости со сроком полезного использования более 12 месяцев принимаются к учету в качестве основных средств (</w:t>
      </w:r>
      <w:hyperlink r:id="rId4" w:history="1">
        <w:r w:rsidRPr="00B376B5">
          <w:rPr>
            <w:color w:val="0000FF"/>
          </w:rPr>
          <w:t>п. 38</w:t>
        </w:r>
      </w:hyperlink>
      <w:r w:rsidRPr="00B376B5">
        <w:t xml:space="preserve"> Инструкции N 157н).</w:t>
      </w:r>
    </w:p>
  </w:footnote>
  <w:footnote w:id="6">
    <w:p w:rsidR="00B376B5" w:rsidRPr="00B376B5" w:rsidRDefault="00B376B5" w:rsidP="00B376B5">
      <w:pPr>
        <w:pStyle w:val="ConsPlusNormal"/>
        <w:ind w:firstLine="540"/>
        <w:jc w:val="both"/>
      </w:pPr>
      <w:r>
        <w:rPr>
          <w:rStyle w:val="a8"/>
        </w:rPr>
        <w:footnoteRef/>
      </w:r>
      <w:r w:rsidRPr="00B376B5">
        <w:t>В целях исчисления НДС передача права собственности на товары, результатов выполненных работ, оказание услуг на безвозмездной основе на территории РФ признаются реализацией товаров (работ, услуг) и, соответственно, объектом обложения НДС (</w:t>
      </w:r>
      <w:hyperlink r:id="rId5" w:history="1">
        <w:r w:rsidRPr="00B376B5">
          <w:rPr>
            <w:color w:val="0000FF"/>
          </w:rPr>
          <w:t>абз. 2 пп. 1 п. 1 ст. 146</w:t>
        </w:r>
      </w:hyperlink>
      <w:r w:rsidRPr="00B376B5">
        <w:t xml:space="preserve"> НК РФ). Вместе с тем не облагаются НДС услуги по передаче некоммерческим организациям в безвозмездное пользование для ведения ими уставной деятельности государственного или муниципального имущества, которое не закреплено за государственными или муниципальными предприятиями и учреждениями и составляет государственную казну РФ, субъекта РФ или муниципальную казну (</w:t>
      </w:r>
      <w:hyperlink r:id="rId6" w:history="1">
        <w:r w:rsidRPr="00B376B5">
          <w:rPr>
            <w:color w:val="0000FF"/>
          </w:rPr>
          <w:t>пп. 10 п. 2 ст. 146</w:t>
        </w:r>
      </w:hyperlink>
      <w:r w:rsidRPr="00B376B5">
        <w:t xml:space="preserve"> НК РФ).</w:t>
      </w:r>
    </w:p>
    <w:p w:rsidR="00B376B5" w:rsidRDefault="00B376B5">
      <w:pPr>
        <w:pStyle w:val="a6"/>
      </w:pPr>
    </w:p>
  </w:footnote>
  <w:footnote w:id="7">
    <w:p w:rsidR="00AF5136" w:rsidRPr="00AF5136" w:rsidRDefault="00AF5136" w:rsidP="00AF5136">
      <w:pPr>
        <w:pStyle w:val="ConsPlusNormal"/>
        <w:ind w:firstLine="540"/>
        <w:jc w:val="both"/>
      </w:pPr>
      <w:r>
        <w:rPr>
          <w:rStyle w:val="a8"/>
        </w:rPr>
        <w:footnoteRef/>
      </w:r>
      <w:r w:rsidRPr="00AF5136">
        <w:t>Соболева Е. Получение подарков отдельными категориями служащих // Силовые министерства и ведомства: бухгалтерский учет и налогообложение. 2014. N 3. С. 42 - 50.</w:t>
      </w:r>
    </w:p>
    <w:p w:rsidR="00AF5136" w:rsidRDefault="00AF5136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299835"/>
      <w:docPartObj>
        <w:docPartGallery w:val="Page Numbers (Top of Page)"/>
        <w:docPartUnique/>
      </w:docPartObj>
    </w:sdtPr>
    <w:sdtContent>
      <w:p w:rsidR="0044778B" w:rsidRPr="0044778B" w:rsidRDefault="00893AE3">
        <w:pPr>
          <w:pStyle w:val="ad"/>
          <w:jc w:val="center"/>
        </w:pPr>
        <w:r w:rsidRPr="0044778B">
          <w:fldChar w:fldCharType="begin"/>
        </w:r>
        <w:r w:rsidR="0044778B" w:rsidRPr="0044778B">
          <w:instrText>PAGE   \* MERGEFORMAT</w:instrText>
        </w:r>
        <w:r w:rsidRPr="0044778B">
          <w:fldChar w:fldCharType="separate"/>
        </w:r>
        <w:r w:rsidR="00762955">
          <w:rPr>
            <w:noProof/>
          </w:rPr>
          <w:t>9</w:t>
        </w:r>
        <w:r w:rsidRPr="0044778B">
          <w:fldChar w:fldCharType="end"/>
        </w:r>
      </w:p>
    </w:sdtContent>
  </w:sdt>
  <w:p w:rsidR="0044778B" w:rsidRDefault="004477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5"/>
      <w:numFmt w:val="decimal"/>
      <w:lvlText w:val="%4)"/>
      <w:lvlJc w:val="left"/>
    </w:lvl>
    <w:lvl w:ilvl="4">
      <w:start w:val="15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5"/>
      <w:numFmt w:val="decimal"/>
      <w:lvlText w:val="%4)"/>
      <w:lvlJc w:val="left"/>
    </w:lvl>
    <w:lvl w:ilvl="4">
      <w:start w:val="5"/>
      <w:numFmt w:val="decimal"/>
      <w:lvlText w:val="%4)"/>
      <w:lvlJc w:val="left"/>
    </w:lvl>
    <w:lvl w:ilvl="5">
      <w:start w:val="5"/>
      <w:numFmt w:val="decimal"/>
      <w:lvlText w:val="%4)"/>
      <w:lvlJc w:val="left"/>
    </w:lvl>
    <w:lvl w:ilvl="6">
      <w:start w:val="5"/>
      <w:numFmt w:val="decimal"/>
      <w:lvlText w:val="%4)"/>
      <w:lvlJc w:val="left"/>
    </w:lvl>
    <w:lvl w:ilvl="7">
      <w:start w:val="5"/>
      <w:numFmt w:val="decimal"/>
      <w:lvlText w:val="%4)"/>
      <w:lvlJc w:val="left"/>
    </w:lvl>
    <w:lvl w:ilvl="8">
      <w:start w:val="5"/>
      <w:numFmt w:val="decimal"/>
      <w:lvlText w:val="%4)"/>
      <w:lvlJc w:val="left"/>
    </w:lvl>
  </w:abstractNum>
  <w:abstractNum w:abstractNumId="2">
    <w:nsid w:val="4770667F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5"/>
      <w:numFmt w:val="decimal"/>
      <w:lvlText w:val="%4)"/>
      <w:lvlJc w:val="left"/>
    </w:lvl>
    <w:lvl w:ilvl="4">
      <w:start w:val="15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69B46F53"/>
    <w:multiLevelType w:val="multilevel"/>
    <w:tmpl w:val="9A16A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5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AD3"/>
    <w:rsid w:val="00024AFF"/>
    <w:rsid w:val="00024EDA"/>
    <w:rsid w:val="00031CC0"/>
    <w:rsid w:val="00055C14"/>
    <w:rsid w:val="00064CD0"/>
    <w:rsid w:val="00065F02"/>
    <w:rsid w:val="00066721"/>
    <w:rsid w:val="00067BF6"/>
    <w:rsid w:val="00082626"/>
    <w:rsid w:val="00085FDB"/>
    <w:rsid w:val="000D2414"/>
    <w:rsid w:val="000D28D9"/>
    <w:rsid w:val="000E65FB"/>
    <w:rsid w:val="001464CB"/>
    <w:rsid w:val="00187CC6"/>
    <w:rsid w:val="001A7F5D"/>
    <w:rsid w:val="001B6FAD"/>
    <w:rsid w:val="001D1F33"/>
    <w:rsid w:val="00220ACB"/>
    <w:rsid w:val="00221BEF"/>
    <w:rsid w:val="00224DD6"/>
    <w:rsid w:val="0023248B"/>
    <w:rsid w:val="00233074"/>
    <w:rsid w:val="00272595"/>
    <w:rsid w:val="002A2574"/>
    <w:rsid w:val="002A68B9"/>
    <w:rsid w:val="002A6B65"/>
    <w:rsid w:val="002B0748"/>
    <w:rsid w:val="002C54EC"/>
    <w:rsid w:val="002D3BCD"/>
    <w:rsid w:val="002E5960"/>
    <w:rsid w:val="00320DB7"/>
    <w:rsid w:val="0032779C"/>
    <w:rsid w:val="00332384"/>
    <w:rsid w:val="0033509B"/>
    <w:rsid w:val="00354771"/>
    <w:rsid w:val="00355AC3"/>
    <w:rsid w:val="003B65F0"/>
    <w:rsid w:val="003C473E"/>
    <w:rsid w:val="003E3FBF"/>
    <w:rsid w:val="003F4F45"/>
    <w:rsid w:val="004079A0"/>
    <w:rsid w:val="0041053B"/>
    <w:rsid w:val="004364E6"/>
    <w:rsid w:val="004458FF"/>
    <w:rsid w:val="0044778B"/>
    <w:rsid w:val="00460D07"/>
    <w:rsid w:val="00471ACC"/>
    <w:rsid w:val="00491E19"/>
    <w:rsid w:val="00496748"/>
    <w:rsid w:val="004A1698"/>
    <w:rsid w:val="004B61D8"/>
    <w:rsid w:val="004B6A8F"/>
    <w:rsid w:val="004D3376"/>
    <w:rsid w:val="004D594C"/>
    <w:rsid w:val="004F4F00"/>
    <w:rsid w:val="004F7F06"/>
    <w:rsid w:val="00503C93"/>
    <w:rsid w:val="005070B5"/>
    <w:rsid w:val="00513DA4"/>
    <w:rsid w:val="005413A0"/>
    <w:rsid w:val="005629C3"/>
    <w:rsid w:val="00584F63"/>
    <w:rsid w:val="005A3E48"/>
    <w:rsid w:val="005B2500"/>
    <w:rsid w:val="005C44B6"/>
    <w:rsid w:val="005D551F"/>
    <w:rsid w:val="005E1F6E"/>
    <w:rsid w:val="005E7266"/>
    <w:rsid w:val="005F2C03"/>
    <w:rsid w:val="00635BE3"/>
    <w:rsid w:val="00651919"/>
    <w:rsid w:val="00652002"/>
    <w:rsid w:val="00680D5D"/>
    <w:rsid w:val="00681AC1"/>
    <w:rsid w:val="00687871"/>
    <w:rsid w:val="00690188"/>
    <w:rsid w:val="00690CF9"/>
    <w:rsid w:val="006A26EA"/>
    <w:rsid w:val="006D3903"/>
    <w:rsid w:val="006E3BDC"/>
    <w:rsid w:val="006E6AC4"/>
    <w:rsid w:val="006F18C0"/>
    <w:rsid w:val="007222D2"/>
    <w:rsid w:val="00723B97"/>
    <w:rsid w:val="00735BA8"/>
    <w:rsid w:val="0074613D"/>
    <w:rsid w:val="0075434E"/>
    <w:rsid w:val="00762955"/>
    <w:rsid w:val="007667B0"/>
    <w:rsid w:val="0076768C"/>
    <w:rsid w:val="00775A50"/>
    <w:rsid w:val="00785A6A"/>
    <w:rsid w:val="007949A2"/>
    <w:rsid w:val="007A2257"/>
    <w:rsid w:val="007A3593"/>
    <w:rsid w:val="008024E8"/>
    <w:rsid w:val="00855430"/>
    <w:rsid w:val="00893AE3"/>
    <w:rsid w:val="008A0E6E"/>
    <w:rsid w:val="008A61BA"/>
    <w:rsid w:val="008A666B"/>
    <w:rsid w:val="008D1C77"/>
    <w:rsid w:val="008F373F"/>
    <w:rsid w:val="008F3B2E"/>
    <w:rsid w:val="008F6918"/>
    <w:rsid w:val="00953224"/>
    <w:rsid w:val="0097533C"/>
    <w:rsid w:val="00992E0C"/>
    <w:rsid w:val="009A46F5"/>
    <w:rsid w:val="009A48D8"/>
    <w:rsid w:val="009C5A51"/>
    <w:rsid w:val="009D7168"/>
    <w:rsid w:val="00A37606"/>
    <w:rsid w:val="00A45D37"/>
    <w:rsid w:val="00A5442A"/>
    <w:rsid w:val="00A704AA"/>
    <w:rsid w:val="00A742B5"/>
    <w:rsid w:val="00A94B50"/>
    <w:rsid w:val="00AA040E"/>
    <w:rsid w:val="00AB4D3E"/>
    <w:rsid w:val="00AC7400"/>
    <w:rsid w:val="00AD17C0"/>
    <w:rsid w:val="00AE308D"/>
    <w:rsid w:val="00AE6A1D"/>
    <w:rsid w:val="00AF5136"/>
    <w:rsid w:val="00B0144E"/>
    <w:rsid w:val="00B11750"/>
    <w:rsid w:val="00B2109B"/>
    <w:rsid w:val="00B22A75"/>
    <w:rsid w:val="00B257BC"/>
    <w:rsid w:val="00B25BD7"/>
    <w:rsid w:val="00B3168D"/>
    <w:rsid w:val="00B376B5"/>
    <w:rsid w:val="00B40A1E"/>
    <w:rsid w:val="00B52213"/>
    <w:rsid w:val="00B87560"/>
    <w:rsid w:val="00BD3B2A"/>
    <w:rsid w:val="00BD41D0"/>
    <w:rsid w:val="00BD550D"/>
    <w:rsid w:val="00C14860"/>
    <w:rsid w:val="00C164AB"/>
    <w:rsid w:val="00C331FF"/>
    <w:rsid w:val="00C40669"/>
    <w:rsid w:val="00C51224"/>
    <w:rsid w:val="00C60DC3"/>
    <w:rsid w:val="00C61E2F"/>
    <w:rsid w:val="00CB07AC"/>
    <w:rsid w:val="00CB6F93"/>
    <w:rsid w:val="00CD637C"/>
    <w:rsid w:val="00CF4E18"/>
    <w:rsid w:val="00D02B51"/>
    <w:rsid w:val="00D14F59"/>
    <w:rsid w:val="00D17C83"/>
    <w:rsid w:val="00D519CE"/>
    <w:rsid w:val="00D60D46"/>
    <w:rsid w:val="00D67C11"/>
    <w:rsid w:val="00D7150E"/>
    <w:rsid w:val="00DA2FBE"/>
    <w:rsid w:val="00DC33D1"/>
    <w:rsid w:val="00DC6E4C"/>
    <w:rsid w:val="00DD18A6"/>
    <w:rsid w:val="00DD1E5C"/>
    <w:rsid w:val="00E22A46"/>
    <w:rsid w:val="00E26DE2"/>
    <w:rsid w:val="00E4393D"/>
    <w:rsid w:val="00E50CD1"/>
    <w:rsid w:val="00E53AD3"/>
    <w:rsid w:val="00E61C5F"/>
    <w:rsid w:val="00E84355"/>
    <w:rsid w:val="00E96302"/>
    <w:rsid w:val="00EA1413"/>
    <w:rsid w:val="00EB2B3D"/>
    <w:rsid w:val="00EC36D0"/>
    <w:rsid w:val="00ED1F9A"/>
    <w:rsid w:val="00EE1309"/>
    <w:rsid w:val="00EE320E"/>
    <w:rsid w:val="00EF6771"/>
    <w:rsid w:val="00F30AB4"/>
    <w:rsid w:val="00F74D1E"/>
    <w:rsid w:val="00FA6B51"/>
    <w:rsid w:val="00FC000B"/>
    <w:rsid w:val="00FD3D03"/>
    <w:rsid w:val="00FE296F"/>
    <w:rsid w:val="00FF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4105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a5"/>
    <w:rsid w:val="0041053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4">
    <w:name w:val="Основной текст4"/>
    <w:basedOn w:val="a"/>
    <w:link w:val="a5"/>
    <w:rsid w:val="0041053B"/>
    <w:pPr>
      <w:shd w:val="clear" w:color="auto" w:fill="FFFFFF"/>
      <w:spacing w:line="317" w:lineRule="exact"/>
      <w:ind w:hanging="360"/>
      <w:jc w:val="both"/>
    </w:pPr>
    <w:rPr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D550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5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D550D"/>
    <w:rPr>
      <w:vertAlign w:val="superscript"/>
    </w:rPr>
  </w:style>
  <w:style w:type="paragraph" w:customStyle="1" w:styleId="ConsPlusNormal">
    <w:name w:val="ConsPlusNormal"/>
    <w:rsid w:val="00D51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519CE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DC6E4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6E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C6E4C"/>
    <w:rPr>
      <w:vertAlign w:val="superscript"/>
    </w:rPr>
  </w:style>
  <w:style w:type="paragraph" w:customStyle="1" w:styleId="Default">
    <w:name w:val="Default"/>
    <w:rsid w:val="00BD3B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477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77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4477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77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4105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a5"/>
    <w:rsid w:val="0041053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4">
    <w:name w:val="Основной текст4"/>
    <w:basedOn w:val="a"/>
    <w:link w:val="a5"/>
    <w:rsid w:val="0041053B"/>
    <w:pPr>
      <w:shd w:val="clear" w:color="auto" w:fill="FFFFFF"/>
      <w:spacing w:line="317" w:lineRule="exact"/>
      <w:ind w:hanging="360"/>
      <w:jc w:val="both"/>
    </w:pPr>
    <w:rPr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D550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5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D550D"/>
    <w:rPr>
      <w:vertAlign w:val="superscript"/>
    </w:rPr>
  </w:style>
  <w:style w:type="paragraph" w:customStyle="1" w:styleId="ConsPlusNormal">
    <w:name w:val="ConsPlusNormal"/>
    <w:rsid w:val="00D51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519CE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DC6E4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6E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C6E4C"/>
    <w:rPr>
      <w:vertAlign w:val="superscript"/>
    </w:rPr>
  </w:style>
  <w:style w:type="paragraph" w:customStyle="1" w:styleId="Default">
    <w:name w:val="Default"/>
    <w:rsid w:val="00BD3B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477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77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4477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77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71CCCAD7C8D6BB3EB1085622CC880536F2CA6A254B6167325F9AA1B1C924DD7E1C6C2B77C96CBgBH5G" TargetMode="External"/><Relationship Id="rId13" Type="http://schemas.openxmlformats.org/officeDocument/2006/relationships/hyperlink" Target="consultantplus://offline/ref=5E29D308E9361F72D4598AF4E6F4321AC5510A31E2E400A626EEEE39EFm835L" TargetMode="External"/><Relationship Id="rId18" Type="http://schemas.openxmlformats.org/officeDocument/2006/relationships/hyperlink" Target="consultantplus://offline/ref=48E9190EE854046142CEBA93E10BBC4DBA1094642824651BDB2C273C44FF9F3BD85F9C81FC84D3DDZ5f1H" TargetMode="External"/><Relationship Id="rId26" Type="http://schemas.openxmlformats.org/officeDocument/2006/relationships/hyperlink" Target="consultantplus://offline/ref=E709336C574F8D4A1FFCC00A93D25FDD335341BFD310EDD08B27EC16E33A45A4358FC9CA11D23A3DW95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09336C574F8D4A1FFCC00A93D25FDD335341BFD310EDD08B27EC16E33A45A4358FC9CA14DBW35FH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5520438E9EC00A626EEEE39EF859A896E5E3A9933BF9DB2m336L" TargetMode="External"/><Relationship Id="rId17" Type="http://schemas.openxmlformats.org/officeDocument/2006/relationships/hyperlink" Target="consultantplus://offline/ref=48E9190EE854046142CEBA93E10BBC4DBA11936C2F26651BDB2C273C44FF9F3BD85F9C81FC86DBD8Z5f9H" TargetMode="External"/><Relationship Id="rId25" Type="http://schemas.openxmlformats.org/officeDocument/2006/relationships/hyperlink" Target="consultantplus://offline/ref=E709336C574F8D4A1FFCC00A93D25FDD33524FB1DE16EDD08B27EC16E33A45A4358FC9CA11D2393CW953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1F67A3320EF0B1B017BDE371C181D1542CF317E48E69A7E16FA927B9F629B44444D1B1A86282E7jC7EG" TargetMode="External"/><Relationship Id="rId20" Type="http://schemas.openxmlformats.org/officeDocument/2006/relationships/hyperlink" Target="consultantplus://offline/ref=E709336C574F8D4A1FFCC00A93D25FDD335341BFD310EDD08B27EC16E33A45A4358FC9CA11D33B38W954H" TargetMode="External"/><Relationship Id="rId29" Type="http://schemas.openxmlformats.org/officeDocument/2006/relationships/hyperlink" Target="consultantplus://offline/ref=E709336C574F8D4A1FFCC00A93D25FDD335341BFD310EDD08B27EC16E33A45A4358FC9CA11D3323DW95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871CCCAD7C8D6BB3EB1085622CC880536F2CA6A254B6167325F9AA1B1C924DD7E1C6C2B77C96C8gBH1G" TargetMode="External"/><Relationship Id="rId24" Type="http://schemas.openxmlformats.org/officeDocument/2006/relationships/hyperlink" Target="consultantplus://offline/ref=E709336C574F8D4A1FFCDD1E81BA65DB6C5B41B0D515EE8D812FB51AE13DW45A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1F67A3320EF0B1B017BDE371C181D1542CF317E48E69A7E16FA927B9F629B44444D1B7jA70G" TargetMode="External"/><Relationship Id="rId23" Type="http://schemas.openxmlformats.org/officeDocument/2006/relationships/hyperlink" Target="consultantplus://offline/ref=E709336C574F8D4A1FFCDD1886A60A8E3F5443B7D11BB0DA837EE014WE54H" TargetMode="External"/><Relationship Id="rId28" Type="http://schemas.openxmlformats.org/officeDocument/2006/relationships/hyperlink" Target="consultantplus://offline/ref=E709336C574F8D4A1FFCC00A93D25FDD335341BFD310EDD08B27EC16E33A45A4358FC9CA11D6393CW956H" TargetMode="External"/><Relationship Id="rId10" Type="http://schemas.openxmlformats.org/officeDocument/2006/relationships/hyperlink" Target="consultantplus://offline/ref=149B438195B77653F68376744DACD601A90BAFEA9ACD450D8A086C8485A4D627EDB418A9D245F258744BG" TargetMode="External"/><Relationship Id="rId19" Type="http://schemas.openxmlformats.org/officeDocument/2006/relationships/hyperlink" Target="consultantplus://offline/ref=7F1F67A3320EF0B1B017BDE371C181D1542AFF16EA8469A7E16FA927B9F629B44444D1B1A86387EEjC7E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9B438195B77653F68376744DACD601A90BAFEA9ACD450D8A086C8485A4D627EDB418A9D245F25A7446G" TargetMode="External"/><Relationship Id="rId14" Type="http://schemas.openxmlformats.org/officeDocument/2006/relationships/hyperlink" Target="consultantplus://offline/ref=5E29D308E9361F72D4598AF4E6F4321AC5520438E9EC00A626EEEE39EF859A896E5E3A9933BF9DB2m336L" TargetMode="External"/><Relationship Id="rId22" Type="http://schemas.openxmlformats.org/officeDocument/2006/relationships/hyperlink" Target="consultantplus://offline/ref=E709336C574F8D4A1FFCC00A93D25FDD33524FB1DE16EDD08B27EC16E33A45A4358FC9CA11D23930W956H" TargetMode="External"/><Relationship Id="rId27" Type="http://schemas.openxmlformats.org/officeDocument/2006/relationships/hyperlink" Target="consultantplus://offline/ref=E709336C574F8D4A1FFCC00A93D25FDD335341BFD310EDD08B27EC16E33A45A4358FC9CD18D7W35DH" TargetMode="External"/><Relationship Id="rId30" Type="http://schemas.openxmlformats.org/officeDocument/2006/relationships/hyperlink" Target="consultantplus://offline/ref=E709336C574F8D4A1FFCC00A93D25FDD335341BFD310EDD08B27EC16E33A45A4358FC9CA11D3323FW951H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8E9190EE854046142CEBA93E10BBC4DBA1094642824651BDB2C273C44FF9F3BD85F9C81FC84D3D9Z5fAH" TargetMode="External"/><Relationship Id="rId2" Type="http://schemas.openxmlformats.org/officeDocument/2006/relationships/hyperlink" Target="consultantplus://offline/ref=48E9190EE854046142CEBA93E10BBC4DBA1199622721651BDB2C273C44FF9F3BD85F9C81FC84D0D8Z5fAH" TargetMode="External"/><Relationship Id="rId1" Type="http://schemas.openxmlformats.org/officeDocument/2006/relationships/hyperlink" Target="consultantplus://offline/ref=48E9190EE854046142CEBA93E10BBC4DBA169865262E651BDB2C273C44FF9F3BD85F9C81FC84D6DCZ5fDH" TargetMode="External"/><Relationship Id="rId6" Type="http://schemas.openxmlformats.org/officeDocument/2006/relationships/hyperlink" Target="consultantplus://offline/ref=1D88E01DADA57776438442724A94826FDB2F671FAAB0008CB0859E12AC67B50B7C583B41D6DFR2MFH" TargetMode="External"/><Relationship Id="rId5" Type="http://schemas.openxmlformats.org/officeDocument/2006/relationships/hyperlink" Target="consultantplus://offline/ref=1D88E01DADA57776438442724A94826FDB2F671FAAB0008CB0859E12AC67B50B7C583B44D3DC2F22RFM6H" TargetMode="External"/><Relationship Id="rId4" Type="http://schemas.openxmlformats.org/officeDocument/2006/relationships/hyperlink" Target="consultantplus://offline/ref=FD5365874C1C57FF69D15388ACA0B7C9C90300A63A18BB0202BB6D37472D2399DEE7447763F66BF4d3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A284-4ACF-453B-B66E-002C63D2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s.yanieva</dc:creator>
  <cp:lastModifiedBy>User</cp:lastModifiedBy>
  <cp:revision>3</cp:revision>
  <cp:lastPrinted>2014-10-14T09:40:00Z</cp:lastPrinted>
  <dcterms:created xsi:type="dcterms:W3CDTF">2014-11-21T07:26:00Z</dcterms:created>
  <dcterms:modified xsi:type="dcterms:W3CDTF">2017-02-13T08:20:00Z</dcterms:modified>
</cp:coreProperties>
</file>