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 w:themeColor="text2" w:themeTint="99"/>
  <w:body>
    <w:p w:rsidR="00DE1C85" w:rsidRDefault="00DB1DDA" w:rsidP="007C10F9">
      <w:pPr>
        <w:shd w:val="clear" w:color="auto" w:fill="C6D9F1" w:themeFill="text2" w:themeFillTint="33"/>
      </w:pPr>
      <w:bookmarkStart w:id="0" w:name="_GoBack"/>
      <w:r w:rsidRPr="007C10F9">
        <w:rPr>
          <w:noProof/>
          <w:shd w:val="clear" w:color="auto" w:fill="FFFF00"/>
          <w:lang w:eastAsia="ru-RU"/>
        </w:rPr>
        <w:drawing>
          <wp:inline distT="0" distB="0" distL="0" distR="0" wp14:anchorId="18D44141" wp14:editId="21D81DFA">
            <wp:extent cx="9582150" cy="58959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DE1C85" w:rsidSect="00DB1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D8"/>
    <w:rsid w:val="006C2510"/>
    <w:rsid w:val="006C2EEA"/>
    <w:rsid w:val="007C10F9"/>
    <w:rsid w:val="00981DF8"/>
    <w:rsid w:val="00C50AD8"/>
    <w:rsid w:val="00DB1DDA"/>
    <w:rsid w:val="00D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Информация по налоговым и неналоговым доходам бюджета Администрации Баженовского </a:t>
            </a:r>
            <a:r>
              <a:rPr lang="ru-RU" baseline="0"/>
              <a:t>сельского поселения в соответствии с решением Думы от 25.12.2020г. № 161, тыс.руб.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2413466706323735"/>
          <c:y val="0.15721664194732166"/>
          <c:w val="0.63720983212345439"/>
          <c:h val="0.7957964616755196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'налоговые и неналоговые'!$C$18</c:f>
              <c:strCache>
                <c:ptCount val="1"/>
                <c:pt idx="0">
                  <c:v>План на 2021 год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'налоговые и неналоговые'!$B$19:$B$27</c:f>
              <c:strCache>
                <c:ptCount val="9"/>
                <c:pt idx="0">
                  <c:v>Штрафы, санкции, возмещение ущерба</c:v>
                </c:pt>
                <c:pt idx="1">
                  <c:v>Доходы от использования имущества, находящегося в муниципальной собственности </c:v>
                </c:pt>
                <c:pt idx="2">
                  <c:v>Доходы от оказания платных услуг (работ) и кмпенсации затрат государства</c:v>
                </c:pt>
                <c:pt idx="3">
                  <c:v>Земельный налог</c:v>
                </c:pt>
                <c:pt idx="4">
                  <c:v>Налог на имущество физических лиц</c:v>
                </c:pt>
                <c:pt idx="5">
                  <c:v>Налоги на совокупный доход</c:v>
                </c:pt>
                <c:pt idx="6">
                  <c:v>Акцизы на нефтепродукты</c:v>
                </c:pt>
                <c:pt idx="7">
                  <c:v>Государственная пошлина</c:v>
                </c:pt>
                <c:pt idx="8">
                  <c:v>Налог на доходы физических лиц</c:v>
                </c:pt>
              </c:strCache>
            </c:strRef>
          </c:cat>
          <c:val>
            <c:numRef>
              <c:f>'налоговые и неналоговые'!$C$19:$C$27</c:f>
              <c:numCache>
                <c:formatCode>#,##0.0</c:formatCode>
                <c:ptCount val="9"/>
                <c:pt idx="0">
                  <c:v>54.1</c:v>
                </c:pt>
                <c:pt idx="1">
                  <c:v>700.9</c:v>
                </c:pt>
                <c:pt idx="2">
                  <c:v>330.9</c:v>
                </c:pt>
                <c:pt idx="3">
                  <c:v>3020</c:v>
                </c:pt>
                <c:pt idx="4">
                  <c:v>630</c:v>
                </c:pt>
                <c:pt idx="5">
                  <c:v>35</c:v>
                </c:pt>
                <c:pt idx="6">
                  <c:v>7800</c:v>
                </c:pt>
                <c:pt idx="7">
                  <c:v>33.1</c:v>
                </c:pt>
                <c:pt idx="8">
                  <c:v>705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"/>
        <c:gapDepth val="78"/>
        <c:shape val="cylinder"/>
        <c:axId val="117815168"/>
        <c:axId val="133905024"/>
        <c:axId val="0"/>
      </c:bar3DChart>
      <c:catAx>
        <c:axId val="11781516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33905024"/>
        <c:crosses val="autoZero"/>
        <c:auto val="1"/>
        <c:lblAlgn val="ctr"/>
        <c:lblOffset val="100"/>
        <c:noMultiLvlLbl val="0"/>
      </c:catAx>
      <c:valAx>
        <c:axId val="133905024"/>
        <c:scaling>
          <c:orientation val="minMax"/>
        </c:scaling>
        <c:delete val="0"/>
        <c:axPos val="b"/>
        <c:majorGridlines/>
        <c:numFmt formatCode="#,##0.0" sourceLinked="1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17815168"/>
        <c:crosses val="autoZero"/>
        <c:crossBetween val="between"/>
        <c:majorUnit val="25000"/>
      </c:valAx>
    </c:plotArea>
    <c:legend>
      <c:legendPos val="r"/>
      <c:layout>
        <c:manualLayout>
          <c:xMode val="edge"/>
          <c:yMode val="edge"/>
          <c:x val="0.71203435554651096"/>
          <c:y val="0.55556048602653607"/>
          <c:w val="0.22699811628914179"/>
          <c:h val="4.186532579292826E-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0.00298</cdr:x>
      <cdr:y>0.78675</cdr:y>
    </cdr:from>
    <cdr:to>
      <cdr:x>0.32704</cdr:x>
      <cdr:y>0.8853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8576" y="4638674"/>
          <a:ext cx="3105150" cy="581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/>
            <a:t>Доходы от использования имущества, находящегося в муниципальной собственности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3D5F-13F4-47AA-8E97-F6E2164D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dcterms:created xsi:type="dcterms:W3CDTF">2021-08-04T07:15:00Z</dcterms:created>
  <dcterms:modified xsi:type="dcterms:W3CDTF">2021-08-04T08:04:00Z</dcterms:modified>
</cp:coreProperties>
</file>